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0B995" w14:textId="77777777" w:rsidR="007C0F99" w:rsidRPr="007C0F99" w:rsidRDefault="007C0F99" w:rsidP="007C0F99">
      <w:pPr>
        <w:rPr>
          <w:b/>
          <w:bCs/>
        </w:rPr>
      </w:pPr>
      <w:r w:rsidRPr="007C0F99">
        <w:rPr>
          <w:b/>
          <w:bCs/>
        </w:rPr>
        <w:t>Understanding the $3M Superannuation Tax: Implications and Strategies for Large SMSFs</w:t>
      </w:r>
    </w:p>
    <w:p w14:paraId="34CC61C5" w14:textId="77777777" w:rsidR="007C0F99" w:rsidRPr="007C0F99" w:rsidRDefault="007C0F99" w:rsidP="007C0F99">
      <w:r w:rsidRPr="007C0F99">
        <w:t>Starting from 1 July 2025, the new $3M accruals tax on superannuation will impose an additional 15% tax on earnings associated with balances exceeding $3 million. This change presents significant challenges, especially for large self-managed super funds (SMSFs) with high-value assets and limited liquidity. Let’s explore the impact on an SMSF with a sole member and practical strategies to mitigate the tax burden.</w:t>
      </w:r>
    </w:p>
    <w:p w14:paraId="1FCF97D6" w14:textId="77777777" w:rsidR="007C0F99" w:rsidRPr="007C0F99" w:rsidRDefault="007C0F99" w:rsidP="007C0F99">
      <w:pPr>
        <w:rPr>
          <w:b/>
          <w:bCs/>
        </w:rPr>
      </w:pPr>
      <w:r w:rsidRPr="007C0F99">
        <w:rPr>
          <w:b/>
          <w:bCs/>
        </w:rPr>
        <w:t>Scenario Overview: Single-Member SMSF and $3M Tax</w:t>
      </w:r>
    </w:p>
    <w:p w14:paraId="7A00BB57" w14:textId="77777777" w:rsidR="007C0F99" w:rsidRPr="007C0F99" w:rsidRDefault="007C0F99" w:rsidP="007C0F99">
      <w:r w:rsidRPr="007C0F99">
        <w:t>Consider an SMSF with a single member holding a $4 million balance, split equally between accumulation ($2 million) and pension ($2 million) accounts. If the fund experiences $1 million in growth for the financial year ending 30 June 2026, here's how the new tax would apply:</w:t>
      </w:r>
    </w:p>
    <w:p w14:paraId="091FE734" w14:textId="77777777" w:rsidR="007C0F99" w:rsidRPr="007C0F99" w:rsidRDefault="007C0F99" w:rsidP="007C0F99">
      <w:pPr>
        <w:numPr>
          <w:ilvl w:val="0"/>
          <w:numId w:val="1"/>
        </w:numPr>
      </w:pPr>
      <w:r w:rsidRPr="007C0F99">
        <w:rPr>
          <w:b/>
          <w:bCs/>
        </w:rPr>
        <w:t>Calculate the Earnings:</w:t>
      </w:r>
      <w:r w:rsidRPr="007C0F99">
        <w:t xml:space="preserve"> The SMSF's growth for the year totals $1 million.</w:t>
      </w:r>
    </w:p>
    <w:p w14:paraId="27F56D44" w14:textId="77777777" w:rsidR="007C0F99" w:rsidRPr="007C0F99" w:rsidRDefault="007C0F99" w:rsidP="007C0F99">
      <w:pPr>
        <w:numPr>
          <w:ilvl w:val="0"/>
          <w:numId w:val="1"/>
        </w:numPr>
      </w:pPr>
      <w:r w:rsidRPr="007C0F99">
        <w:rPr>
          <w:b/>
          <w:bCs/>
        </w:rPr>
        <w:t>Proportion Over $3 Million:</w:t>
      </w:r>
      <w:r w:rsidRPr="007C0F99">
        <w:t xml:space="preserve"> The amount exceeding the $3M threshold is $1 million ($4 million - $3 million), representing 25% of the total balance.</w:t>
      </w:r>
    </w:p>
    <w:p w14:paraId="0D6D8619" w14:textId="77777777" w:rsidR="007C0F99" w:rsidRPr="007C0F99" w:rsidRDefault="007C0F99" w:rsidP="007C0F99">
      <w:pPr>
        <w:numPr>
          <w:ilvl w:val="0"/>
          <w:numId w:val="1"/>
        </w:numPr>
      </w:pPr>
      <w:r w:rsidRPr="007C0F99">
        <w:rPr>
          <w:b/>
          <w:bCs/>
        </w:rPr>
        <w:t>Tax Calculation:</w:t>
      </w:r>
      <w:r w:rsidRPr="007C0F99">
        <w:t xml:space="preserve"> The tax is applied at 15% on the earnings attributable to the excess over $3 million. This results in a $37,500 tax liability (15% x $1 million x 25%).</w:t>
      </w:r>
    </w:p>
    <w:p w14:paraId="3DBE2FFE" w14:textId="77777777" w:rsidR="007C0F99" w:rsidRPr="007C0F99" w:rsidRDefault="007C0F99" w:rsidP="007C0F99">
      <w:pPr>
        <w:rPr>
          <w:b/>
          <w:bCs/>
        </w:rPr>
      </w:pPr>
      <w:r w:rsidRPr="007C0F99">
        <w:rPr>
          <w:b/>
          <w:bCs/>
        </w:rPr>
        <w:t>Additional Implications Upon Death</w:t>
      </w:r>
    </w:p>
    <w:p w14:paraId="444404FB" w14:textId="77777777" w:rsidR="007C0F99" w:rsidRPr="007C0F99" w:rsidRDefault="007C0F99" w:rsidP="007C0F99">
      <w:r w:rsidRPr="007C0F99">
        <w:t>If the SMSF member dies and leaves the superannuation to their 45-year-old daughter, who is a non-tax dependent, the situation becomes more complex due to death benefit taxes and capital gains tax (CGT) on unrealised gains:</w:t>
      </w:r>
    </w:p>
    <w:p w14:paraId="007FE5A2" w14:textId="77777777" w:rsidR="007C0F99" w:rsidRPr="007C0F99" w:rsidRDefault="007C0F99" w:rsidP="007C0F99">
      <w:pPr>
        <w:numPr>
          <w:ilvl w:val="0"/>
          <w:numId w:val="2"/>
        </w:numPr>
      </w:pPr>
      <w:r w:rsidRPr="007C0F99">
        <w:rPr>
          <w:b/>
          <w:bCs/>
        </w:rPr>
        <w:t>Super Components:</w:t>
      </w:r>
      <w:r w:rsidRPr="007C0F99">
        <w:t xml:space="preserve"> The $4 million balance consists of 20% tax-free ($800,000) and 80% taxable ($3.2 million) components.</w:t>
      </w:r>
    </w:p>
    <w:p w14:paraId="4599202A" w14:textId="77777777" w:rsidR="007C0F99" w:rsidRPr="007C0F99" w:rsidRDefault="007C0F99" w:rsidP="007C0F99">
      <w:pPr>
        <w:numPr>
          <w:ilvl w:val="0"/>
          <w:numId w:val="2"/>
        </w:numPr>
      </w:pPr>
      <w:r w:rsidRPr="007C0F99">
        <w:rPr>
          <w:b/>
          <w:bCs/>
        </w:rPr>
        <w:t>Existing Capital Gains:</w:t>
      </w:r>
      <w:r w:rsidRPr="007C0F99">
        <w:t xml:space="preserve"> The fund has $2 million in unrealised capital gains.</w:t>
      </w:r>
    </w:p>
    <w:p w14:paraId="1E73BA76" w14:textId="77777777" w:rsidR="007C0F99" w:rsidRPr="007C0F99" w:rsidRDefault="007C0F99" w:rsidP="007C0F99">
      <w:pPr>
        <w:rPr>
          <w:b/>
          <w:bCs/>
        </w:rPr>
      </w:pPr>
      <w:r w:rsidRPr="007C0F99">
        <w:rPr>
          <w:b/>
          <w:bCs/>
        </w:rPr>
        <w:t>Step 1: Calculate Capital Gains Tax Before Distributing Benefits</w:t>
      </w:r>
    </w:p>
    <w:p w14:paraId="58C4FF95" w14:textId="77777777" w:rsidR="007C0F99" w:rsidRPr="007C0F99" w:rsidRDefault="007C0F99" w:rsidP="007C0F99">
      <w:r w:rsidRPr="007C0F99">
        <w:t>When distributing the death benefit, the SMSF must first account for CGT. Assuming the assets have been held for more than 12 months, a discounted CGT rate of 10% applies:</w:t>
      </w:r>
    </w:p>
    <w:p w14:paraId="188DD23F" w14:textId="77777777" w:rsidR="007C0F99" w:rsidRPr="007C0F99" w:rsidRDefault="007C0F99" w:rsidP="007C0F99">
      <w:pPr>
        <w:numPr>
          <w:ilvl w:val="0"/>
          <w:numId w:val="3"/>
        </w:numPr>
      </w:pPr>
      <w:r w:rsidRPr="007C0F99">
        <w:rPr>
          <w:b/>
          <w:bCs/>
        </w:rPr>
        <w:t>CGT Liability:</w:t>
      </w:r>
      <w:r w:rsidRPr="007C0F99">
        <w:t xml:space="preserve"> $200,000 (10% of $2 million)</w:t>
      </w:r>
    </w:p>
    <w:p w14:paraId="13C76992" w14:textId="77777777" w:rsidR="007C0F99" w:rsidRPr="007C0F99" w:rsidRDefault="007C0F99" w:rsidP="007C0F99">
      <w:r w:rsidRPr="007C0F99">
        <w:t>This CGT amount is deducted from the total SMSF balance before calculating the death benefits. The fund's balance is now $3.8 million.</w:t>
      </w:r>
    </w:p>
    <w:p w14:paraId="6429BFBB" w14:textId="77777777" w:rsidR="007C0F99" w:rsidRPr="007C0F99" w:rsidRDefault="007C0F99" w:rsidP="007C0F99">
      <w:pPr>
        <w:rPr>
          <w:b/>
          <w:bCs/>
        </w:rPr>
      </w:pPr>
      <w:r w:rsidRPr="007C0F99">
        <w:rPr>
          <w:b/>
          <w:bCs/>
        </w:rPr>
        <w:t>Step 2: Death Benefit Tax on the Remaining Balance</w:t>
      </w:r>
    </w:p>
    <w:p w14:paraId="30AD63E4" w14:textId="77777777" w:rsidR="007C0F99" w:rsidRPr="007C0F99" w:rsidRDefault="007C0F99" w:rsidP="007C0F99">
      <w:r w:rsidRPr="007C0F99">
        <w:lastRenderedPageBreak/>
        <w:t>Death benefit tax applies to the taxable portion left to the daughter. The tax-free component ($800,000) is exempt, while the taxable component ($3 million) is taxed at 17% (including the 2% Medicare levy):</w:t>
      </w:r>
    </w:p>
    <w:p w14:paraId="06DDFE71" w14:textId="77777777" w:rsidR="007C0F99" w:rsidRPr="007C0F99" w:rsidRDefault="007C0F99" w:rsidP="007C0F99">
      <w:pPr>
        <w:numPr>
          <w:ilvl w:val="0"/>
          <w:numId w:val="4"/>
        </w:numPr>
      </w:pPr>
      <w:r w:rsidRPr="007C0F99">
        <w:rPr>
          <w:b/>
          <w:bCs/>
        </w:rPr>
        <w:t>Death Benefit Tax:</w:t>
      </w:r>
      <w:r w:rsidRPr="007C0F99">
        <w:t xml:space="preserve"> 17% x $3 million = $510,000</w:t>
      </w:r>
    </w:p>
    <w:p w14:paraId="0D76FC03" w14:textId="77777777" w:rsidR="007C0F99" w:rsidRPr="007C0F99" w:rsidRDefault="007C0F99" w:rsidP="007C0F99">
      <w:pPr>
        <w:rPr>
          <w:b/>
          <w:bCs/>
        </w:rPr>
      </w:pPr>
      <w:r w:rsidRPr="007C0F99">
        <w:rPr>
          <w:b/>
          <w:bCs/>
        </w:rPr>
        <w:t>Step 3: Total Tax Liability</w:t>
      </w:r>
    </w:p>
    <w:p w14:paraId="28AEB318" w14:textId="77777777" w:rsidR="007C0F99" w:rsidRPr="007C0F99" w:rsidRDefault="007C0F99" w:rsidP="007C0F99">
      <w:r w:rsidRPr="007C0F99">
        <w:t>Combining the CGT and death benefit taxes results in a significant reduction in the daughter's inheritance:</w:t>
      </w:r>
    </w:p>
    <w:p w14:paraId="51195571" w14:textId="77777777" w:rsidR="007C0F99" w:rsidRPr="007C0F99" w:rsidRDefault="007C0F99" w:rsidP="007C0F99">
      <w:pPr>
        <w:numPr>
          <w:ilvl w:val="0"/>
          <w:numId w:val="5"/>
        </w:numPr>
      </w:pPr>
      <w:r w:rsidRPr="007C0F99">
        <w:rPr>
          <w:b/>
          <w:bCs/>
        </w:rPr>
        <w:t>Capital Gains Tax:</w:t>
      </w:r>
      <w:r w:rsidRPr="007C0F99">
        <w:t xml:space="preserve"> $200,000</w:t>
      </w:r>
    </w:p>
    <w:p w14:paraId="53EFB2F5" w14:textId="77777777" w:rsidR="007C0F99" w:rsidRPr="007C0F99" w:rsidRDefault="007C0F99" w:rsidP="007C0F99">
      <w:pPr>
        <w:numPr>
          <w:ilvl w:val="0"/>
          <w:numId w:val="5"/>
        </w:numPr>
      </w:pPr>
      <w:r w:rsidRPr="007C0F99">
        <w:rPr>
          <w:b/>
          <w:bCs/>
        </w:rPr>
        <w:t>Death Benefit Tax:</w:t>
      </w:r>
      <w:r w:rsidRPr="007C0F99">
        <w:t xml:space="preserve"> $510,000</w:t>
      </w:r>
    </w:p>
    <w:p w14:paraId="2DB131DA" w14:textId="77777777" w:rsidR="007C0F99" w:rsidRPr="007C0F99" w:rsidRDefault="007C0F99" w:rsidP="007C0F99">
      <w:pPr>
        <w:numPr>
          <w:ilvl w:val="0"/>
          <w:numId w:val="5"/>
        </w:numPr>
      </w:pPr>
      <w:r w:rsidRPr="007C0F99">
        <w:rPr>
          <w:b/>
          <w:bCs/>
        </w:rPr>
        <w:t>Total Taxes:</w:t>
      </w:r>
      <w:r w:rsidRPr="007C0F99">
        <w:t xml:space="preserve"> </w:t>
      </w:r>
      <w:r w:rsidRPr="007C0F99">
        <w:rPr>
          <w:b/>
          <w:bCs/>
        </w:rPr>
        <w:t>$710,000</w:t>
      </w:r>
    </w:p>
    <w:p w14:paraId="01D251AA" w14:textId="7E77C69E" w:rsidR="007C0F99" w:rsidRPr="007C0F99" w:rsidRDefault="007C0F99" w:rsidP="007C0F99">
      <w:pPr>
        <w:rPr>
          <w:b/>
          <w:bCs/>
        </w:rPr>
      </w:pPr>
      <w:r w:rsidRPr="007C0F99">
        <w:rPr>
          <w:b/>
          <w:bCs/>
        </w:rPr>
        <w:t>Five Strategies to Mitigate the $3M Accruals Tax and Minimi</w:t>
      </w:r>
      <w:r w:rsidR="004028D3">
        <w:rPr>
          <w:b/>
          <w:bCs/>
        </w:rPr>
        <w:t>s</w:t>
      </w:r>
      <w:r w:rsidRPr="007C0F99">
        <w:rPr>
          <w:b/>
          <w:bCs/>
        </w:rPr>
        <w:t>e Taxation on Death</w:t>
      </w:r>
    </w:p>
    <w:p w14:paraId="7C939596" w14:textId="5EB95021" w:rsidR="007C0F99" w:rsidRPr="007C0F99" w:rsidRDefault="007C0F99" w:rsidP="007C0F99">
      <w:r w:rsidRPr="007C0F99">
        <w:t>Given the potential tax burdens, it’s essential to adopt strategies that reduce exposure to the new superannuation taxes. Here are f</w:t>
      </w:r>
      <w:r w:rsidR="00BF52CF">
        <w:t>our</w:t>
      </w:r>
      <w:r w:rsidRPr="007C0F99">
        <w:t xml:space="preserve"> approaches to consider:</w:t>
      </w:r>
    </w:p>
    <w:p w14:paraId="44DE897D" w14:textId="77777777" w:rsidR="007C0F99" w:rsidRPr="007C0F99" w:rsidRDefault="007C0F99" w:rsidP="007C0F99">
      <w:pPr>
        <w:numPr>
          <w:ilvl w:val="0"/>
          <w:numId w:val="6"/>
        </w:numPr>
      </w:pPr>
      <w:r w:rsidRPr="007C0F99">
        <w:rPr>
          <w:b/>
          <w:bCs/>
        </w:rPr>
        <w:t>Transfer Assets to a Family Protection Trust (FPT)</w:t>
      </w:r>
    </w:p>
    <w:p w14:paraId="284D63D7" w14:textId="77777777" w:rsidR="007C0F99" w:rsidRPr="007C0F99" w:rsidRDefault="007C0F99" w:rsidP="007C0F99">
      <w:pPr>
        <w:numPr>
          <w:ilvl w:val="1"/>
          <w:numId w:val="6"/>
        </w:numPr>
      </w:pPr>
      <w:r w:rsidRPr="007C0F99">
        <w:t>Moving some SMSF assets to a Family Protection Trust can be an effective way to manage wealth outside of the super environment. The FPT can provide income or loans to beneficiaries, such as the daughter, without being subject to superannuation taxes. This approach ensures that the assets are protected while still benefiting the intended heirs.</w:t>
      </w:r>
    </w:p>
    <w:p w14:paraId="3BFC0A5E" w14:textId="77777777" w:rsidR="007C0F99" w:rsidRPr="007C0F99" w:rsidRDefault="007C0F99" w:rsidP="007C0F99">
      <w:pPr>
        <w:numPr>
          <w:ilvl w:val="0"/>
          <w:numId w:val="6"/>
        </w:numPr>
      </w:pPr>
      <w:r w:rsidRPr="007C0F99">
        <w:rPr>
          <w:b/>
          <w:bCs/>
        </w:rPr>
        <w:t>Withdraw Funds Gradually to Stay Below the $3M Threshold</w:t>
      </w:r>
    </w:p>
    <w:p w14:paraId="4F269B21" w14:textId="77777777" w:rsidR="007C0F99" w:rsidRPr="007C0F99" w:rsidRDefault="007C0F99" w:rsidP="007C0F99">
      <w:pPr>
        <w:numPr>
          <w:ilvl w:val="1"/>
          <w:numId w:val="6"/>
        </w:numPr>
      </w:pPr>
      <w:r w:rsidRPr="007C0F99">
        <w:t>By making withdrawals over time to keep the super balance under $3 million, you can avoid the accruals tax altogether. This strategy may involve taking out lump sums or rolling over portions of the balance into other investment structures, such as family trusts.</w:t>
      </w:r>
    </w:p>
    <w:p w14:paraId="171A18CF" w14:textId="5D4F4894" w:rsidR="007C0F99" w:rsidRPr="007C0F99" w:rsidRDefault="00BF52CF" w:rsidP="007C0F99">
      <w:pPr>
        <w:numPr>
          <w:ilvl w:val="0"/>
          <w:numId w:val="6"/>
        </w:numPr>
      </w:pPr>
      <w:r>
        <w:rPr>
          <w:b/>
          <w:bCs/>
        </w:rPr>
        <w:t>Financial Collars</w:t>
      </w:r>
    </w:p>
    <w:p w14:paraId="18B46B02" w14:textId="2EC45803" w:rsidR="00BF52CF" w:rsidRPr="007C0F99" w:rsidRDefault="00BF52CF" w:rsidP="007C0F99">
      <w:pPr>
        <w:numPr>
          <w:ilvl w:val="1"/>
          <w:numId w:val="6"/>
        </w:numPr>
      </w:pPr>
      <w:r w:rsidRPr="00BF52CF">
        <w:t>Using financial instruments like options can help manage an SMSF's growth and limit exposure to the new $3M accruals tax. Strategies such as writing covered calls or implementing collar strategies (buying protective puts while selling call options) can cap potential upside while providing downside protection. This approach effectively stabilizes the fund's value, potentially keeping the balance below the $3M threshold and reducing the tax burden. These techniques offer a controlled way to generate income and manage capital growth without triggering excessive tax liabilities.</w:t>
      </w:r>
    </w:p>
    <w:p w14:paraId="6EF8CACF" w14:textId="77777777" w:rsidR="007C0F99" w:rsidRPr="007C0F99" w:rsidRDefault="007C0F99" w:rsidP="007C0F99">
      <w:pPr>
        <w:numPr>
          <w:ilvl w:val="0"/>
          <w:numId w:val="6"/>
        </w:numPr>
      </w:pPr>
      <w:r w:rsidRPr="007C0F99">
        <w:rPr>
          <w:b/>
          <w:bCs/>
        </w:rPr>
        <w:lastRenderedPageBreak/>
        <w:t>Invest Outside Superannuation to Limit Exposure</w:t>
      </w:r>
    </w:p>
    <w:p w14:paraId="59896CCC" w14:textId="20EF05FE" w:rsidR="007C0F99" w:rsidRPr="007C0F99" w:rsidRDefault="007C0F99" w:rsidP="007C0F99">
      <w:pPr>
        <w:numPr>
          <w:ilvl w:val="1"/>
          <w:numId w:val="6"/>
        </w:numPr>
      </w:pPr>
      <w:r w:rsidRPr="007C0F99">
        <w:t>For large SMSFs, allocating some future investments outside the super system can minimi</w:t>
      </w:r>
      <w:r w:rsidR="00BF52CF">
        <w:t>s</w:t>
      </w:r>
      <w:r w:rsidRPr="007C0F99">
        <w:t>e exposure to the accruals tax. Investments held in family trusts or personal names may have different tax implications, potentially reducing the overall tax burden.</w:t>
      </w:r>
    </w:p>
    <w:p w14:paraId="081FA2DB" w14:textId="77777777" w:rsidR="007C0F99" w:rsidRPr="007C0F99" w:rsidRDefault="007C0F99" w:rsidP="007C0F99">
      <w:pPr>
        <w:rPr>
          <w:b/>
          <w:bCs/>
        </w:rPr>
      </w:pPr>
      <w:r w:rsidRPr="007C0F99">
        <w:rPr>
          <w:b/>
          <w:bCs/>
        </w:rPr>
        <w:t>Conclusion</w:t>
      </w:r>
    </w:p>
    <w:p w14:paraId="40B76FBE" w14:textId="77777777" w:rsidR="007C0F99" w:rsidRPr="007C0F99" w:rsidRDefault="007C0F99" w:rsidP="007C0F99">
      <w:r w:rsidRPr="007C0F99">
        <w:t>The $3M accruals tax and associated death taxes pose significant challenges for SMSF members with large balances, particularly when leaving super to non-tax dependents. By planning proactively and employing strategies such as using Family Protection Trusts, strategic withdrawals, and reversionary pensions, SMSF trustees can minimize the tax impact and ensure a smoother wealth transfer.</w:t>
      </w:r>
    </w:p>
    <w:p w14:paraId="5846B11A" w14:textId="77777777" w:rsidR="007C0F99" w:rsidRPr="007C0F99" w:rsidRDefault="007C0F99" w:rsidP="007C0F99">
      <w:r w:rsidRPr="007C0F99">
        <w:t>Understanding these new rules and their potential implications is crucial for safeguarding your SMSF’s legacy. Engaging with professional advisors to implement tailored strategies can help optimize tax outcomes and protect your family's financial future.</w:t>
      </w:r>
    </w:p>
    <w:p w14:paraId="07309542" w14:textId="77777777" w:rsidR="0063330D" w:rsidRDefault="0063330D"/>
    <w:sectPr w:rsidR="00633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D5D"/>
    <w:multiLevelType w:val="multilevel"/>
    <w:tmpl w:val="BC5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B9C"/>
    <w:multiLevelType w:val="multilevel"/>
    <w:tmpl w:val="E05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46536"/>
    <w:multiLevelType w:val="multilevel"/>
    <w:tmpl w:val="21A6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E7D38"/>
    <w:multiLevelType w:val="multilevel"/>
    <w:tmpl w:val="38B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36BC0"/>
    <w:multiLevelType w:val="multilevel"/>
    <w:tmpl w:val="C2E45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471AF8"/>
    <w:multiLevelType w:val="multilevel"/>
    <w:tmpl w:val="C30E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775169">
    <w:abstractNumId w:val="5"/>
  </w:num>
  <w:num w:numId="2" w16cid:durableId="1583904891">
    <w:abstractNumId w:val="0"/>
  </w:num>
  <w:num w:numId="3" w16cid:durableId="2116249968">
    <w:abstractNumId w:val="2"/>
  </w:num>
  <w:num w:numId="4" w16cid:durableId="2146772994">
    <w:abstractNumId w:val="3"/>
  </w:num>
  <w:num w:numId="5" w16cid:durableId="670720612">
    <w:abstractNumId w:val="1"/>
  </w:num>
  <w:num w:numId="6" w16cid:durableId="754740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99"/>
    <w:rsid w:val="002A5A46"/>
    <w:rsid w:val="004028D3"/>
    <w:rsid w:val="0063330D"/>
    <w:rsid w:val="006458D2"/>
    <w:rsid w:val="0074749B"/>
    <w:rsid w:val="00757CE9"/>
    <w:rsid w:val="007C0F99"/>
    <w:rsid w:val="00BF52CF"/>
    <w:rsid w:val="00E506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1A1B"/>
  <w15:chartTrackingRefBased/>
  <w15:docId w15:val="{C22F3043-0127-48E2-AEF7-459AE148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F9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C0F9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C0F9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C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F9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C0F9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C0F9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C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F99"/>
    <w:rPr>
      <w:rFonts w:eastAsiaTheme="majorEastAsia" w:cstheme="majorBidi"/>
      <w:color w:val="272727" w:themeColor="text1" w:themeTint="D8"/>
    </w:rPr>
  </w:style>
  <w:style w:type="paragraph" w:styleId="Title">
    <w:name w:val="Title"/>
    <w:basedOn w:val="Normal"/>
    <w:next w:val="Normal"/>
    <w:link w:val="TitleChar"/>
    <w:uiPriority w:val="10"/>
    <w:qFormat/>
    <w:rsid w:val="007C0F9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C0F9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C0F9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C0F9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C0F99"/>
    <w:pPr>
      <w:spacing w:before="160"/>
      <w:jc w:val="center"/>
    </w:pPr>
    <w:rPr>
      <w:i/>
      <w:iCs/>
      <w:color w:val="404040" w:themeColor="text1" w:themeTint="BF"/>
    </w:rPr>
  </w:style>
  <w:style w:type="character" w:customStyle="1" w:styleId="QuoteChar">
    <w:name w:val="Quote Char"/>
    <w:basedOn w:val="DefaultParagraphFont"/>
    <w:link w:val="Quote"/>
    <w:uiPriority w:val="29"/>
    <w:rsid w:val="007C0F99"/>
    <w:rPr>
      <w:i/>
      <w:iCs/>
      <w:color w:val="404040" w:themeColor="text1" w:themeTint="BF"/>
    </w:rPr>
  </w:style>
  <w:style w:type="paragraph" w:styleId="ListParagraph">
    <w:name w:val="List Paragraph"/>
    <w:basedOn w:val="Normal"/>
    <w:uiPriority w:val="34"/>
    <w:qFormat/>
    <w:rsid w:val="007C0F99"/>
    <w:pPr>
      <w:ind w:left="720"/>
      <w:contextualSpacing/>
    </w:pPr>
  </w:style>
  <w:style w:type="character" w:styleId="IntenseEmphasis">
    <w:name w:val="Intense Emphasis"/>
    <w:basedOn w:val="DefaultParagraphFont"/>
    <w:uiPriority w:val="21"/>
    <w:qFormat/>
    <w:rsid w:val="007C0F99"/>
    <w:rPr>
      <w:i/>
      <w:iCs/>
      <w:color w:val="0F4761" w:themeColor="accent1" w:themeShade="BF"/>
    </w:rPr>
  </w:style>
  <w:style w:type="paragraph" w:styleId="IntenseQuote">
    <w:name w:val="Intense Quote"/>
    <w:basedOn w:val="Normal"/>
    <w:next w:val="Normal"/>
    <w:link w:val="IntenseQuoteChar"/>
    <w:uiPriority w:val="30"/>
    <w:qFormat/>
    <w:rsid w:val="007C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F99"/>
    <w:rPr>
      <w:i/>
      <w:iCs/>
      <w:color w:val="0F4761" w:themeColor="accent1" w:themeShade="BF"/>
    </w:rPr>
  </w:style>
  <w:style w:type="character" w:styleId="IntenseReference">
    <w:name w:val="Intense Reference"/>
    <w:basedOn w:val="DefaultParagraphFont"/>
    <w:uiPriority w:val="32"/>
    <w:qFormat/>
    <w:rsid w:val="007C0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523666">
      <w:bodyDiv w:val="1"/>
      <w:marLeft w:val="0"/>
      <w:marRight w:val="0"/>
      <w:marTop w:val="0"/>
      <w:marBottom w:val="0"/>
      <w:divBdr>
        <w:top w:val="none" w:sz="0" w:space="0" w:color="auto"/>
        <w:left w:val="none" w:sz="0" w:space="0" w:color="auto"/>
        <w:bottom w:val="none" w:sz="0" w:space="0" w:color="auto"/>
        <w:right w:val="none" w:sz="0" w:space="0" w:color="auto"/>
      </w:divBdr>
    </w:div>
    <w:div w:id="14721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grantley abbott</dc:creator>
  <cp:keywords/>
  <dc:description/>
  <cp:lastModifiedBy>grantley abbott</cp:lastModifiedBy>
  <cp:revision>4</cp:revision>
  <dcterms:created xsi:type="dcterms:W3CDTF">2024-10-09T09:55:00Z</dcterms:created>
  <dcterms:modified xsi:type="dcterms:W3CDTF">2024-10-09T10:00:00Z</dcterms:modified>
</cp:coreProperties>
</file>