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4B5FD" w14:textId="77777777" w:rsidR="00E0702E" w:rsidRPr="0086091A" w:rsidRDefault="00E0702E" w:rsidP="00E0702E">
      <w:pPr>
        <w:rPr>
          <w:rFonts w:ascii="Calibri" w:hAnsi="Calibri"/>
          <w:u w:val="single"/>
        </w:rPr>
      </w:pPr>
      <w:bookmarkStart w:id="0" w:name="_GoBack"/>
      <w:bookmarkEnd w:id="0"/>
      <w:r w:rsidRPr="0086091A">
        <w:rPr>
          <w:rFonts w:ascii="Calibri" w:hAnsi="Calibri"/>
          <w:noProof/>
          <w:lang w:val="en-US"/>
        </w:rPr>
        <w:drawing>
          <wp:anchor distT="0" distB="0" distL="114300" distR="114300" simplePos="0" relativeHeight="251659264" behindDoc="0" locked="0" layoutInCell="1" allowOverlap="1" wp14:anchorId="59F9EF0C" wp14:editId="64547899">
            <wp:simplePos x="0" y="0"/>
            <wp:positionH relativeFrom="margin">
              <wp:align>left</wp:align>
            </wp:positionH>
            <wp:positionV relativeFrom="paragraph">
              <wp:posOffset>635</wp:posOffset>
            </wp:positionV>
            <wp:extent cx="2860040" cy="871855"/>
            <wp:effectExtent l="0" t="0" r="0" b="4445"/>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60040" cy="871855"/>
                    </a:xfrm>
                    <a:prstGeom prst="rect">
                      <a:avLst/>
                    </a:prstGeom>
                    <a:noFill/>
                    <a:ln>
                      <a:noFill/>
                    </a:ln>
                  </pic:spPr>
                </pic:pic>
              </a:graphicData>
            </a:graphic>
          </wp:anchor>
        </w:drawing>
      </w:r>
    </w:p>
    <w:p w14:paraId="7A165CBC" w14:textId="77777777" w:rsidR="00E0702E" w:rsidRPr="0086091A" w:rsidRDefault="00E0702E" w:rsidP="00E0702E">
      <w:pPr>
        <w:rPr>
          <w:rFonts w:ascii="Calibri" w:hAnsi="Calibri"/>
          <w:u w:val="single"/>
        </w:rPr>
      </w:pPr>
    </w:p>
    <w:p w14:paraId="46F0907B" w14:textId="77777777" w:rsidR="00E0702E" w:rsidRPr="0086091A" w:rsidRDefault="00E0702E" w:rsidP="00E0702E">
      <w:pPr>
        <w:rPr>
          <w:rFonts w:ascii="Calibri" w:hAnsi="Calibri"/>
          <w:u w:val="single"/>
        </w:rPr>
      </w:pPr>
    </w:p>
    <w:p w14:paraId="15E3A603" w14:textId="77777777" w:rsidR="00E0702E" w:rsidRPr="0086091A" w:rsidRDefault="00E0702E" w:rsidP="00E0702E">
      <w:pPr>
        <w:rPr>
          <w:rFonts w:ascii="Calibri" w:hAnsi="Calibri"/>
          <w:u w:val="single"/>
        </w:rPr>
      </w:pPr>
    </w:p>
    <w:p w14:paraId="59648712" w14:textId="77777777" w:rsidR="00E0702E" w:rsidRPr="0086091A" w:rsidRDefault="00E0702E" w:rsidP="00E0702E">
      <w:pPr>
        <w:pStyle w:val="Title"/>
        <w:rPr>
          <w:rFonts w:ascii="Calibri" w:eastAsiaTheme="minorHAnsi" w:hAnsi="Calibri" w:cstheme="minorBidi"/>
          <w:b w:val="0"/>
          <w:spacing w:val="0"/>
          <w:kern w:val="0"/>
          <w:sz w:val="24"/>
          <w:szCs w:val="22"/>
          <w:u w:val="single"/>
        </w:rPr>
      </w:pPr>
    </w:p>
    <w:p w14:paraId="009EB069" w14:textId="77777777" w:rsidR="00E0702E" w:rsidRPr="0086091A" w:rsidRDefault="00E0702E" w:rsidP="00E0702E">
      <w:pPr>
        <w:pStyle w:val="Title"/>
        <w:rPr>
          <w:rFonts w:ascii="Calibri" w:eastAsiaTheme="minorHAnsi" w:hAnsi="Calibri" w:cstheme="minorBidi"/>
          <w:b w:val="0"/>
          <w:spacing w:val="0"/>
          <w:kern w:val="0"/>
          <w:sz w:val="24"/>
          <w:szCs w:val="22"/>
          <w:u w:val="single"/>
        </w:rPr>
      </w:pPr>
    </w:p>
    <w:p w14:paraId="62E24AB7" w14:textId="77777777" w:rsidR="00E0702E" w:rsidRPr="0086091A" w:rsidRDefault="00E0702E" w:rsidP="00E0702E">
      <w:pPr>
        <w:pStyle w:val="Title"/>
        <w:rPr>
          <w:rFonts w:ascii="Calibri" w:eastAsiaTheme="minorHAnsi" w:hAnsi="Calibri" w:cstheme="minorBidi"/>
          <w:b w:val="0"/>
          <w:spacing w:val="0"/>
          <w:kern w:val="0"/>
          <w:sz w:val="24"/>
          <w:szCs w:val="22"/>
          <w:u w:val="single"/>
        </w:rPr>
      </w:pPr>
    </w:p>
    <w:p w14:paraId="1E592C85" w14:textId="77777777" w:rsidR="00E0702E" w:rsidRPr="0086091A" w:rsidRDefault="00E0702E" w:rsidP="00E0702E">
      <w:pPr>
        <w:pStyle w:val="Title"/>
        <w:rPr>
          <w:rFonts w:ascii="Calibri" w:eastAsiaTheme="minorHAnsi" w:hAnsi="Calibri" w:cstheme="minorBidi"/>
          <w:b w:val="0"/>
          <w:spacing w:val="0"/>
          <w:kern w:val="0"/>
          <w:sz w:val="24"/>
          <w:szCs w:val="22"/>
          <w:u w:val="single"/>
        </w:rPr>
      </w:pPr>
    </w:p>
    <w:p w14:paraId="5E0DA7AE" w14:textId="77777777" w:rsidR="00E0702E" w:rsidRPr="0086091A" w:rsidRDefault="00E0702E" w:rsidP="00E0702E">
      <w:pPr>
        <w:pStyle w:val="Title"/>
        <w:rPr>
          <w:rFonts w:ascii="Calibri" w:eastAsiaTheme="minorHAnsi" w:hAnsi="Calibri" w:cstheme="minorBidi"/>
          <w:b w:val="0"/>
          <w:spacing w:val="0"/>
          <w:kern w:val="0"/>
          <w:sz w:val="24"/>
          <w:szCs w:val="22"/>
          <w:u w:val="single"/>
        </w:rPr>
      </w:pPr>
    </w:p>
    <w:p w14:paraId="4CE6B559" w14:textId="77777777" w:rsidR="00E0702E" w:rsidRPr="0086091A" w:rsidRDefault="00E0702E" w:rsidP="00E0702E">
      <w:pPr>
        <w:pStyle w:val="Title"/>
        <w:rPr>
          <w:rFonts w:ascii="Calibri" w:eastAsiaTheme="minorHAnsi" w:hAnsi="Calibri" w:cstheme="minorBidi"/>
          <w:b w:val="0"/>
          <w:spacing w:val="0"/>
          <w:kern w:val="0"/>
          <w:sz w:val="24"/>
          <w:szCs w:val="22"/>
          <w:u w:val="single"/>
        </w:rPr>
      </w:pPr>
    </w:p>
    <w:p w14:paraId="75BDDB22" w14:textId="77777777" w:rsidR="00E0702E" w:rsidRPr="0086091A" w:rsidRDefault="00E0702E" w:rsidP="00E0702E">
      <w:pPr>
        <w:pStyle w:val="Title"/>
        <w:rPr>
          <w:rFonts w:ascii="Calibri" w:eastAsiaTheme="minorHAnsi" w:hAnsi="Calibri" w:cstheme="minorBidi"/>
          <w:b w:val="0"/>
          <w:spacing w:val="0"/>
          <w:kern w:val="0"/>
          <w:sz w:val="24"/>
          <w:szCs w:val="22"/>
          <w:u w:val="single"/>
        </w:rPr>
      </w:pPr>
    </w:p>
    <w:p w14:paraId="0F8C9D97" w14:textId="77777777" w:rsidR="00E0702E" w:rsidRPr="0086091A" w:rsidRDefault="00E0702E" w:rsidP="00E0702E">
      <w:pPr>
        <w:pStyle w:val="Title"/>
        <w:rPr>
          <w:rFonts w:ascii="Calibri" w:eastAsiaTheme="minorHAnsi" w:hAnsi="Calibri" w:cstheme="minorBidi"/>
          <w:b w:val="0"/>
          <w:spacing w:val="0"/>
          <w:kern w:val="0"/>
          <w:sz w:val="24"/>
          <w:szCs w:val="22"/>
          <w:u w:val="single"/>
        </w:rPr>
      </w:pPr>
    </w:p>
    <w:p w14:paraId="2086759C" w14:textId="77777777" w:rsidR="00E0702E" w:rsidRPr="0086091A" w:rsidRDefault="00E0702E" w:rsidP="00E0702E">
      <w:pPr>
        <w:pStyle w:val="Title"/>
        <w:rPr>
          <w:rFonts w:ascii="Calibri" w:eastAsiaTheme="minorHAnsi" w:hAnsi="Calibri" w:cstheme="minorBidi"/>
          <w:b w:val="0"/>
          <w:spacing w:val="0"/>
          <w:kern w:val="0"/>
          <w:sz w:val="24"/>
          <w:szCs w:val="22"/>
          <w:u w:val="single"/>
        </w:rPr>
      </w:pPr>
    </w:p>
    <w:p w14:paraId="46B8DE3A" w14:textId="77777777" w:rsidR="000E5C91" w:rsidRDefault="000E5C91" w:rsidP="00E0702E">
      <w:pPr>
        <w:pStyle w:val="LegalH1"/>
      </w:pPr>
      <w:r>
        <w:t xml:space="preserve">STRATEGY TEXT AND GUIDELINES – LEADING MEMBER KIT </w:t>
      </w:r>
    </w:p>
    <w:p w14:paraId="620BC738" w14:textId="738B2A7D" w:rsidR="00E0702E" w:rsidRPr="000E5C91" w:rsidRDefault="000E5C91" w:rsidP="00E0702E">
      <w:pPr>
        <w:pStyle w:val="LegalH1"/>
        <w:rPr>
          <w:sz w:val="48"/>
        </w:rPr>
      </w:pPr>
      <w:r>
        <w:rPr>
          <w:sz w:val="48"/>
        </w:rPr>
        <w:t xml:space="preserve">Upgrade of an </w:t>
      </w:r>
      <w:r w:rsidRPr="000E5C91">
        <w:rPr>
          <w:sz w:val="48"/>
        </w:rPr>
        <w:t>SMSF</w:t>
      </w:r>
      <w:r>
        <w:rPr>
          <w:sz w:val="48"/>
        </w:rPr>
        <w:t xml:space="preserve"> to a Leading Member Structure w</w:t>
      </w:r>
      <w:r w:rsidRPr="000E5C91">
        <w:rPr>
          <w:sz w:val="48"/>
        </w:rPr>
        <w:t>ith an existing Corporate Trustee</w:t>
      </w:r>
    </w:p>
    <w:p w14:paraId="6EC49A2F" w14:textId="4082923A" w:rsidR="00E0702E" w:rsidRPr="0086091A" w:rsidRDefault="00E0702E" w:rsidP="00E0702E">
      <w:pPr>
        <w:pStyle w:val="TitleSub"/>
        <w:rPr>
          <w:rFonts w:ascii="Calibri" w:hAnsi="Calibri"/>
          <w:sz w:val="50"/>
          <w:szCs w:val="50"/>
        </w:rPr>
      </w:pPr>
      <w:r w:rsidRPr="0086091A">
        <w:rPr>
          <w:rFonts w:ascii="Calibri" w:hAnsi="Calibri"/>
          <w:sz w:val="50"/>
          <w:szCs w:val="50"/>
          <w:u w:val="single"/>
        </w:rPr>
        <w:br w:type="page"/>
      </w:r>
    </w:p>
    <w:p w14:paraId="33062558" w14:textId="2990103D" w:rsidR="00E0702E" w:rsidRDefault="00E0702E" w:rsidP="00E0702E">
      <w:pPr>
        <w:pStyle w:val="LegalP2"/>
        <w:rPr>
          <w:rFonts w:ascii="Calibri" w:hAnsi="Calibri"/>
          <w:b/>
        </w:rPr>
      </w:pPr>
      <w:r>
        <w:rPr>
          <w:rFonts w:ascii="Calibri" w:hAnsi="Calibri"/>
          <w:b/>
        </w:rPr>
        <w:lastRenderedPageBreak/>
        <w:t xml:space="preserve">IMPORTANT INFORMATION ABOUT THIS DOCUMENT </w:t>
      </w:r>
    </w:p>
    <w:p w14:paraId="0DD371AB" w14:textId="77777777" w:rsidR="00E0702E" w:rsidRDefault="00E0702E" w:rsidP="00E0702E">
      <w:pPr>
        <w:pStyle w:val="LegalP2"/>
        <w:spacing w:after="0"/>
        <w:rPr>
          <w:rFonts w:ascii="Calibri" w:hAnsi="Calibri"/>
        </w:rPr>
      </w:pPr>
    </w:p>
    <w:p w14:paraId="7BFC3F38" w14:textId="31B9F77F" w:rsidR="00E0702E" w:rsidRDefault="00E0702E" w:rsidP="00E0702E">
      <w:pPr>
        <w:spacing w:after="0" w:line="240" w:lineRule="auto"/>
        <w:jc w:val="both"/>
      </w:pPr>
      <w:r>
        <w:t>This document or the text contained within it does not constitute legal advice. We encourage you to seek your own professional advice to find out how the Corporations Act and other applicable laws apply to you, as it is your responsibility to determine your obligations.</w:t>
      </w:r>
    </w:p>
    <w:p w14:paraId="17124022" w14:textId="77777777" w:rsidR="00E0702E" w:rsidRDefault="00E0702E" w:rsidP="00E0702E">
      <w:pPr>
        <w:spacing w:after="0" w:line="240" w:lineRule="auto"/>
        <w:jc w:val="both"/>
      </w:pPr>
    </w:p>
    <w:p w14:paraId="32330456" w14:textId="2D0AADAE" w:rsidR="00E0702E" w:rsidRDefault="00E0702E" w:rsidP="00E0702E">
      <w:pPr>
        <w:spacing w:after="0" w:line="240" w:lineRule="auto"/>
        <w:jc w:val="both"/>
      </w:pPr>
      <w:r>
        <w:t>Examples in this text are purely for illustration; they are not exhaustive and are not intended to impose or imply particular rules or requirements. It is your sole responsibility to determine the suitability of the advice you are providing to your client.</w:t>
      </w:r>
    </w:p>
    <w:p w14:paraId="6A3A229E" w14:textId="77777777" w:rsidR="00E0702E" w:rsidRDefault="00E0702E" w:rsidP="00E0702E">
      <w:pPr>
        <w:spacing w:after="0" w:line="240" w:lineRule="auto"/>
        <w:jc w:val="both"/>
      </w:pPr>
    </w:p>
    <w:p w14:paraId="534EFD43" w14:textId="657F6337" w:rsidR="00E0702E" w:rsidRPr="00E0702E" w:rsidRDefault="00E0702E" w:rsidP="00E0702E">
      <w:pPr>
        <w:spacing w:after="0" w:line="240" w:lineRule="auto"/>
        <w:jc w:val="both"/>
        <w:rPr>
          <w:b/>
        </w:rPr>
      </w:pPr>
      <w:r w:rsidRPr="00E0702E">
        <w:rPr>
          <w:b/>
        </w:rPr>
        <w:t>This is not a Statement of Advice or other advice document.</w:t>
      </w:r>
    </w:p>
    <w:p w14:paraId="1856C278" w14:textId="77777777" w:rsidR="00E0702E" w:rsidRDefault="00E0702E" w:rsidP="00E0702E">
      <w:pPr>
        <w:spacing w:after="0" w:line="240" w:lineRule="auto"/>
        <w:jc w:val="both"/>
      </w:pPr>
    </w:p>
    <w:p w14:paraId="536F21E0" w14:textId="0F9EE158" w:rsidR="00E0702E" w:rsidRDefault="00E0702E" w:rsidP="00E0702E">
      <w:pPr>
        <w:spacing w:after="0" w:line="240" w:lineRule="auto"/>
        <w:jc w:val="both"/>
      </w:pPr>
      <w:r>
        <w:t xml:space="preserve">This text has been designed to provide guidance </w:t>
      </w:r>
      <w:r w:rsidR="008C63F7">
        <w:t>in relation to</w:t>
      </w:r>
      <w:r>
        <w:t xml:space="preserve"> the recommendation or decision to convert an existing self-managed super fund structure into a Leading Member </w:t>
      </w:r>
      <w:r w:rsidR="00F41C94">
        <w:t xml:space="preserve">SMSF </w:t>
      </w:r>
      <w:r>
        <w:t>structure. This text may be used in several different ways including, but not limited to:</w:t>
      </w:r>
    </w:p>
    <w:p w14:paraId="46DF4A2C" w14:textId="77777777" w:rsidR="00E0702E" w:rsidRDefault="00E0702E" w:rsidP="00E0702E">
      <w:pPr>
        <w:spacing w:after="0" w:line="240" w:lineRule="auto"/>
        <w:jc w:val="both"/>
      </w:pPr>
    </w:p>
    <w:p w14:paraId="7BFAEDAD" w14:textId="398B1C88" w:rsidR="00E0702E" w:rsidRDefault="00E0702E" w:rsidP="00E0702E">
      <w:pPr>
        <w:pStyle w:val="ListParagraph"/>
        <w:numPr>
          <w:ilvl w:val="0"/>
          <w:numId w:val="1"/>
        </w:numPr>
        <w:spacing w:after="0" w:line="240" w:lineRule="auto"/>
        <w:jc w:val="both"/>
      </w:pPr>
      <w:r>
        <w:t>Client file notes;</w:t>
      </w:r>
    </w:p>
    <w:p w14:paraId="388E23E1" w14:textId="28D2568A" w:rsidR="00E0702E" w:rsidRDefault="00E0702E" w:rsidP="00E0702E">
      <w:pPr>
        <w:pStyle w:val="ListParagraph"/>
        <w:numPr>
          <w:ilvl w:val="0"/>
          <w:numId w:val="1"/>
        </w:numPr>
        <w:spacing w:after="0" w:line="240" w:lineRule="auto"/>
        <w:jc w:val="both"/>
      </w:pPr>
      <w:r>
        <w:t>Statement of Advice documents (general template text);</w:t>
      </w:r>
    </w:p>
    <w:p w14:paraId="526A390C" w14:textId="6CEBE2B8" w:rsidR="00E0702E" w:rsidRDefault="00E0702E" w:rsidP="00E0702E">
      <w:pPr>
        <w:pStyle w:val="ListParagraph"/>
        <w:numPr>
          <w:ilvl w:val="0"/>
          <w:numId w:val="1"/>
        </w:numPr>
        <w:spacing w:after="0" w:line="240" w:lineRule="auto"/>
        <w:jc w:val="both"/>
      </w:pPr>
      <w:r>
        <w:t>Review Statement of Advice documents (general template text);</w:t>
      </w:r>
    </w:p>
    <w:p w14:paraId="30659A9D" w14:textId="3EF593E0" w:rsidR="00E0702E" w:rsidRDefault="00E0702E" w:rsidP="00E0702E">
      <w:pPr>
        <w:pStyle w:val="ListParagraph"/>
        <w:numPr>
          <w:ilvl w:val="0"/>
          <w:numId w:val="1"/>
        </w:numPr>
        <w:spacing w:after="0" w:line="240" w:lineRule="auto"/>
        <w:jc w:val="both"/>
      </w:pPr>
      <w:r>
        <w:t>The construction or assistance of other advice document; and/or</w:t>
      </w:r>
    </w:p>
    <w:p w14:paraId="13511BA7" w14:textId="6E36CB78" w:rsidR="00E0702E" w:rsidRDefault="00E0702E" w:rsidP="00E0702E">
      <w:pPr>
        <w:pStyle w:val="ListParagraph"/>
        <w:numPr>
          <w:ilvl w:val="0"/>
          <w:numId w:val="1"/>
        </w:numPr>
        <w:spacing w:after="0" w:line="240" w:lineRule="auto"/>
        <w:jc w:val="both"/>
      </w:pPr>
      <w:r>
        <w:t>Betterment of understanding of the Leading Member structure (multi-purpose).</w:t>
      </w:r>
    </w:p>
    <w:p w14:paraId="299E9C2D" w14:textId="77777777" w:rsidR="00E0702E" w:rsidRDefault="00E0702E" w:rsidP="00E0702E">
      <w:pPr>
        <w:spacing w:after="0" w:line="240" w:lineRule="auto"/>
        <w:jc w:val="both"/>
      </w:pPr>
    </w:p>
    <w:p w14:paraId="5F7E578A" w14:textId="77777777" w:rsidR="00E0702E" w:rsidRDefault="00E0702E" w:rsidP="00E0702E">
      <w:pPr>
        <w:spacing w:after="0" w:line="240" w:lineRule="auto"/>
        <w:jc w:val="both"/>
      </w:pPr>
      <w:r>
        <w:t>In line with ASIC RG 90.7 - We recognise that the style, content, layout and length of any advice document or file note will vary depending on various matters, including the scope and complexity of the advice. This text is general in nature and it is unlikely that you could use the text without modification. Please consider the style, content and layout of the text that follows in light of the way you intend to use it.</w:t>
      </w:r>
    </w:p>
    <w:p w14:paraId="26A5D8A2" w14:textId="77777777" w:rsidR="00E0702E" w:rsidRDefault="00E0702E" w:rsidP="00E0702E">
      <w:pPr>
        <w:spacing w:after="0" w:line="240" w:lineRule="auto"/>
        <w:jc w:val="both"/>
      </w:pPr>
    </w:p>
    <w:p w14:paraId="75566D63" w14:textId="0CF1302A" w:rsidR="00764FA1" w:rsidRDefault="00E0702E" w:rsidP="00E0702E">
      <w:pPr>
        <w:spacing w:after="0" w:line="240" w:lineRule="auto"/>
        <w:jc w:val="both"/>
      </w:pPr>
      <w:r>
        <w:t>You may reproduce all or any part of this text in hard copy and/or in electronic format, without asking for permission from LightYear Docs.</w:t>
      </w:r>
    </w:p>
    <w:p w14:paraId="78781BEC" w14:textId="3D00A3DF" w:rsidR="00E0702E" w:rsidRDefault="00E0702E" w:rsidP="00E0702E">
      <w:pPr>
        <w:spacing w:after="0" w:line="240" w:lineRule="auto"/>
        <w:jc w:val="both"/>
      </w:pPr>
    </w:p>
    <w:p w14:paraId="5C9B7601" w14:textId="26A7C10A" w:rsidR="00E0702E" w:rsidRDefault="00E0702E" w:rsidP="00E0702E">
      <w:pPr>
        <w:spacing w:after="0" w:line="240" w:lineRule="auto"/>
        <w:jc w:val="both"/>
      </w:pPr>
      <w:r>
        <w:t xml:space="preserve">This document has been provided in PDF form. Text may still be copied into a word document using the copy/paste functions or a PDF to word converter. </w:t>
      </w:r>
    </w:p>
    <w:p w14:paraId="0CA56A7D" w14:textId="77777777" w:rsidR="00E0702E" w:rsidRDefault="00E0702E">
      <w:r>
        <w:br w:type="page"/>
      </w:r>
    </w:p>
    <w:p w14:paraId="79FC6619" w14:textId="247A1313" w:rsidR="004411A0" w:rsidRPr="004411A0" w:rsidRDefault="004411A0" w:rsidP="00E0702E">
      <w:pPr>
        <w:pStyle w:val="LegalP2"/>
        <w:rPr>
          <w:rFonts w:ascii="Calibri" w:hAnsi="Calibri"/>
          <w:color w:val="FF0000"/>
          <w:sz w:val="20"/>
        </w:rPr>
      </w:pPr>
      <w:r w:rsidRPr="004411A0">
        <w:rPr>
          <w:rFonts w:ascii="Calibri" w:hAnsi="Calibri"/>
          <w:color w:val="FF0000"/>
          <w:sz w:val="20"/>
        </w:rPr>
        <w:lastRenderedPageBreak/>
        <w:t>&lt;START INSERT TEXT&gt;</w:t>
      </w:r>
    </w:p>
    <w:p w14:paraId="7A3A78D8" w14:textId="77777777" w:rsidR="004411A0" w:rsidRDefault="004411A0" w:rsidP="00E0702E">
      <w:pPr>
        <w:pStyle w:val="LegalP2"/>
        <w:rPr>
          <w:rFonts w:ascii="Calibri" w:hAnsi="Calibri"/>
          <w:b/>
        </w:rPr>
      </w:pPr>
    </w:p>
    <w:p w14:paraId="61A786AD" w14:textId="10E69C07" w:rsidR="00E0702E" w:rsidRPr="00E0702E" w:rsidRDefault="00E0702E" w:rsidP="00E0702E">
      <w:pPr>
        <w:pStyle w:val="LegalP2"/>
        <w:rPr>
          <w:rFonts w:ascii="Calibri" w:hAnsi="Calibri"/>
          <w:b/>
        </w:rPr>
      </w:pPr>
      <w:r w:rsidRPr="00E0702E">
        <w:rPr>
          <w:rFonts w:ascii="Calibri" w:hAnsi="Calibri"/>
          <w:b/>
        </w:rPr>
        <w:t>UPGRADE YOUR EXISTING SELF-MANAGED SUPER FUND STRUCTURE TO A LEADING MEMBER STRUCTURE</w:t>
      </w:r>
    </w:p>
    <w:p w14:paraId="64EC52C7" w14:textId="795F8CBF" w:rsidR="00E0702E" w:rsidRPr="002F76CA" w:rsidRDefault="00E0702E" w:rsidP="00E0702E">
      <w:pPr>
        <w:pStyle w:val="Heading2"/>
        <w:spacing w:before="0" w:after="0"/>
        <w:rPr>
          <w:rFonts w:asciiTheme="minorHAnsi" w:hAnsiTheme="minorHAnsi" w:cstheme="minorHAnsi"/>
          <w:sz w:val="24"/>
          <w:szCs w:val="24"/>
        </w:rPr>
      </w:pPr>
      <w:r w:rsidRPr="002F76CA">
        <w:rPr>
          <w:rFonts w:asciiTheme="minorHAnsi" w:hAnsiTheme="minorHAnsi" w:cstheme="minorHAnsi"/>
          <w:sz w:val="24"/>
          <w:szCs w:val="24"/>
        </w:rPr>
        <w:fldChar w:fldCharType="begin"/>
      </w:r>
      <w:r w:rsidRPr="002F76CA">
        <w:rPr>
          <w:rFonts w:asciiTheme="minorHAnsi" w:hAnsiTheme="minorHAnsi" w:cstheme="minorHAnsi"/>
          <w:sz w:val="24"/>
          <w:szCs w:val="24"/>
        </w:rPr>
        <w:instrText xml:space="preserve"> TC "</w:instrText>
      </w:r>
      <w:bookmarkStart w:id="1" w:name="_Toc519692760"/>
      <w:r w:rsidRPr="002F76CA">
        <w:rPr>
          <w:rFonts w:asciiTheme="minorHAnsi" w:hAnsiTheme="minorHAnsi" w:cstheme="minorHAnsi"/>
          <w:sz w:val="24"/>
          <w:szCs w:val="24"/>
        </w:rPr>
        <w:instrText>Commence an Account Based Pension</w:instrText>
      </w:r>
      <w:bookmarkEnd w:id="1"/>
      <w:r w:rsidRPr="002F76CA">
        <w:rPr>
          <w:rFonts w:asciiTheme="minorHAnsi" w:hAnsiTheme="minorHAnsi" w:cstheme="minorHAnsi"/>
          <w:sz w:val="24"/>
          <w:szCs w:val="24"/>
        </w:rPr>
        <w:instrText xml:space="preserve">" \l 2 </w:instrText>
      </w:r>
      <w:r w:rsidRPr="002F76CA">
        <w:rPr>
          <w:rFonts w:asciiTheme="minorHAnsi" w:hAnsiTheme="minorHAnsi" w:cstheme="minorHAnsi"/>
          <w:sz w:val="24"/>
          <w:szCs w:val="24"/>
        </w:rPr>
        <w:fldChar w:fldCharType="end"/>
      </w:r>
    </w:p>
    <w:p w14:paraId="6A48165D" w14:textId="795C51AC" w:rsidR="00E0702E" w:rsidRDefault="00E0702E" w:rsidP="00E0702E">
      <w:pPr>
        <w:spacing w:after="0"/>
        <w:jc w:val="both"/>
        <w:rPr>
          <w:rFonts w:cstheme="minorHAnsi"/>
          <w:szCs w:val="24"/>
        </w:rPr>
      </w:pPr>
      <w:r>
        <w:rPr>
          <w:rFonts w:cstheme="minorHAnsi"/>
          <w:szCs w:val="24"/>
        </w:rPr>
        <w:t>A</w:t>
      </w:r>
      <w:r w:rsidRPr="00E0702E">
        <w:rPr>
          <w:rFonts w:cstheme="minorHAnsi"/>
          <w:szCs w:val="24"/>
        </w:rPr>
        <w:t xml:space="preserve"> Leading Member SMSF has</w:t>
      </w:r>
      <w:r>
        <w:rPr>
          <w:rFonts w:cstheme="minorHAnsi"/>
          <w:szCs w:val="24"/>
        </w:rPr>
        <w:t xml:space="preserve">, </w:t>
      </w:r>
      <w:r w:rsidRPr="00E0702E">
        <w:rPr>
          <w:rFonts w:cstheme="minorHAnsi"/>
          <w:szCs w:val="24"/>
        </w:rPr>
        <w:t>at its cor</w:t>
      </w:r>
      <w:r>
        <w:rPr>
          <w:rFonts w:cstheme="minorHAnsi"/>
          <w:szCs w:val="24"/>
        </w:rPr>
        <w:t>e,</w:t>
      </w:r>
      <w:r w:rsidRPr="00E0702E">
        <w:rPr>
          <w:rFonts w:cstheme="minorHAnsi"/>
          <w:szCs w:val="24"/>
        </w:rPr>
        <w:t xml:space="preserve"> a member who controls the Fund.  The</w:t>
      </w:r>
      <w:r>
        <w:rPr>
          <w:rFonts w:cstheme="minorHAnsi"/>
          <w:szCs w:val="24"/>
        </w:rPr>
        <w:t>y</w:t>
      </w:r>
      <w:r w:rsidRPr="00E0702E">
        <w:rPr>
          <w:rFonts w:cstheme="minorHAnsi"/>
          <w:szCs w:val="24"/>
        </w:rPr>
        <w:t xml:space="preserve"> have the power to appoint and remove a Trustee plus the power to appoint and remove a member of the Fund.  Like the English Windsor Royal Family, the ultimate bloodline protection structure, the Leading Member SMSF is designed to build and protect the superannuation wealth of the Leading Member’s lineage or bloodline.</w:t>
      </w:r>
    </w:p>
    <w:p w14:paraId="483BE231" w14:textId="77777777" w:rsidR="00E0702E" w:rsidRPr="00E0702E" w:rsidRDefault="00E0702E" w:rsidP="00E0702E">
      <w:pPr>
        <w:spacing w:after="0"/>
        <w:jc w:val="both"/>
        <w:rPr>
          <w:rFonts w:cstheme="minorHAnsi"/>
          <w:szCs w:val="24"/>
        </w:rPr>
      </w:pPr>
    </w:p>
    <w:p w14:paraId="6A8EE538" w14:textId="30123B65" w:rsidR="00E0702E" w:rsidRDefault="00E0702E" w:rsidP="00E0702E">
      <w:pPr>
        <w:spacing w:after="0"/>
        <w:jc w:val="both"/>
        <w:rPr>
          <w:rFonts w:cstheme="minorHAnsi"/>
          <w:szCs w:val="24"/>
        </w:rPr>
      </w:pPr>
      <w:r w:rsidRPr="00E0702E">
        <w:rPr>
          <w:rFonts w:cstheme="minorHAnsi"/>
          <w:szCs w:val="24"/>
        </w:rPr>
        <w:t>This extends from limiting membership to lineage, paying death benefits if a member requires only to bloodline, removing members if their benefits are attacked by way of a legal action (including divorce), having veto power in the event of any Trustee decision making and much more.  On the death, mental incapacity or retirement of a Leading Member, the successor Leading Member st</w:t>
      </w:r>
      <w:r>
        <w:rPr>
          <w:rFonts w:cstheme="minorHAnsi"/>
          <w:szCs w:val="24"/>
        </w:rPr>
        <w:t>eps</w:t>
      </w:r>
      <w:r w:rsidRPr="00E0702E">
        <w:rPr>
          <w:rFonts w:cstheme="minorHAnsi"/>
          <w:szCs w:val="24"/>
        </w:rPr>
        <w:t xml:space="preserve"> in to control the SMSF.</w:t>
      </w:r>
    </w:p>
    <w:p w14:paraId="640ACB0D" w14:textId="77777777" w:rsidR="00E0702E" w:rsidRDefault="00E0702E" w:rsidP="00E0702E">
      <w:pPr>
        <w:spacing w:after="0"/>
        <w:jc w:val="both"/>
        <w:rPr>
          <w:rFonts w:cstheme="minorHAnsi"/>
          <w:szCs w:val="24"/>
        </w:rPr>
      </w:pPr>
    </w:p>
    <w:p w14:paraId="6993C5CB" w14:textId="5C0ABBF5" w:rsidR="00E0702E" w:rsidRDefault="00E0702E" w:rsidP="00E0702E">
      <w:pPr>
        <w:spacing w:after="0"/>
        <w:jc w:val="both"/>
        <w:rPr>
          <w:rFonts w:cstheme="minorHAnsi"/>
          <w:szCs w:val="24"/>
        </w:rPr>
      </w:pPr>
      <w:r w:rsidRPr="00E0702E">
        <w:rPr>
          <w:rFonts w:cstheme="minorHAnsi"/>
          <w:szCs w:val="24"/>
        </w:rPr>
        <w:t>The Courts are littered with cases where members in a Fund are locked in a fight for control.  Divorce, death and dementia are times when a Fund, generally a family SMSF need certainty, stability and security.</w:t>
      </w:r>
      <w:r>
        <w:rPr>
          <w:rFonts w:cstheme="minorHAnsi"/>
          <w:szCs w:val="24"/>
        </w:rPr>
        <w:t xml:space="preserve"> A Leading Member SMSF aims to provide this. </w:t>
      </w:r>
    </w:p>
    <w:p w14:paraId="7BEA60E2" w14:textId="77777777" w:rsidR="00E0702E" w:rsidRPr="00E0702E" w:rsidRDefault="00E0702E" w:rsidP="00E0702E">
      <w:pPr>
        <w:spacing w:after="0"/>
        <w:jc w:val="both"/>
        <w:rPr>
          <w:rFonts w:cstheme="minorHAnsi"/>
          <w:szCs w:val="24"/>
        </w:rPr>
      </w:pPr>
    </w:p>
    <w:p w14:paraId="59B25FF2" w14:textId="5E0075FA" w:rsidR="00E0702E" w:rsidRDefault="004411A0" w:rsidP="00E0702E">
      <w:pPr>
        <w:spacing w:after="0"/>
        <w:rPr>
          <w:rFonts w:cstheme="minorHAnsi"/>
          <w:b/>
          <w:szCs w:val="24"/>
        </w:rPr>
      </w:pPr>
      <w:r w:rsidRPr="004411A0">
        <w:rPr>
          <w:rFonts w:cstheme="minorHAnsi"/>
          <w:b/>
          <w:szCs w:val="24"/>
        </w:rPr>
        <w:t>To implement this this strategy</w:t>
      </w:r>
      <w:r>
        <w:rPr>
          <w:rFonts w:cstheme="minorHAnsi"/>
          <w:b/>
          <w:szCs w:val="24"/>
        </w:rPr>
        <w:t>, you will be required to update both your existing SMSF Special Purpose Company and SMSF Trust Deed. Speci</w:t>
      </w:r>
      <w:r w:rsidR="00A01658">
        <w:rPr>
          <w:rFonts w:cstheme="minorHAnsi"/>
          <w:b/>
          <w:szCs w:val="24"/>
        </w:rPr>
        <w:t>fic</w:t>
      </w:r>
      <w:r>
        <w:rPr>
          <w:rFonts w:cstheme="minorHAnsi"/>
          <w:b/>
          <w:szCs w:val="24"/>
        </w:rPr>
        <w:t xml:space="preserve">ally, </w:t>
      </w:r>
      <w:r w:rsidRPr="004411A0">
        <w:rPr>
          <w:rFonts w:cstheme="minorHAnsi"/>
          <w:b/>
          <w:szCs w:val="24"/>
        </w:rPr>
        <w:t>we recommend</w:t>
      </w:r>
      <w:r>
        <w:rPr>
          <w:rFonts w:cstheme="minorHAnsi"/>
          <w:b/>
          <w:szCs w:val="24"/>
        </w:rPr>
        <w:t xml:space="preserve"> the following</w:t>
      </w:r>
      <w:r w:rsidRPr="004411A0">
        <w:rPr>
          <w:rFonts w:cstheme="minorHAnsi"/>
          <w:b/>
          <w:szCs w:val="24"/>
        </w:rPr>
        <w:t>:</w:t>
      </w:r>
    </w:p>
    <w:p w14:paraId="35474C7F" w14:textId="0B4E6793" w:rsidR="004411A0" w:rsidRDefault="004411A0" w:rsidP="00E0702E">
      <w:pPr>
        <w:spacing w:after="0"/>
        <w:rPr>
          <w:rFonts w:cstheme="minorHAnsi"/>
          <w:b/>
          <w:szCs w:val="24"/>
        </w:rPr>
      </w:pPr>
    </w:p>
    <w:p w14:paraId="04A864FB" w14:textId="73B85CCE" w:rsidR="00345050" w:rsidRDefault="00345050" w:rsidP="00E75AEF">
      <w:pPr>
        <w:pStyle w:val="BulletList"/>
        <w:numPr>
          <w:ilvl w:val="0"/>
          <w:numId w:val="2"/>
        </w:numPr>
        <w:spacing w:before="0" w:after="120"/>
        <w:ind w:left="680" w:hanging="340"/>
        <w:rPr>
          <w:rFonts w:asciiTheme="minorHAnsi" w:hAnsiTheme="minorHAnsi" w:cstheme="minorHAnsi"/>
          <w:color w:val="auto"/>
          <w:sz w:val="24"/>
          <w:szCs w:val="24"/>
        </w:rPr>
      </w:pPr>
      <w:r>
        <w:rPr>
          <w:rFonts w:asciiTheme="minorHAnsi" w:hAnsiTheme="minorHAnsi" w:cstheme="minorHAnsi"/>
          <w:color w:val="auto"/>
          <w:sz w:val="24"/>
          <w:szCs w:val="24"/>
        </w:rPr>
        <w:t>Determine that your existing SMSF Trust Deed allows</w:t>
      </w:r>
      <w:r w:rsidRPr="00345050">
        <w:rPr>
          <w:rFonts w:asciiTheme="minorHAnsi" w:hAnsiTheme="minorHAnsi" w:cstheme="minorHAnsi"/>
          <w:color w:val="auto"/>
          <w:sz w:val="24"/>
          <w:szCs w:val="24"/>
        </w:rPr>
        <w:t xml:space="preserve"> the Trustee to vary the Deed</w:t>
      </w:r>
      <w:r w:rsidR="009035C7">
        <w:rPr>
          <w:rFonts w:asciiTheme="minorHAnsi" w:hAnsiTheme="minorHAnsi" w:cstheme="minorHAnsi"/>
          <w:color w:val="auto"/>
          <w:sz w:val="24"/>
          <w:szCs w:val="24"/>
        </w:rPr>
        <w:t xml:space="preserve">. </w:t>
      </w:r>
    </w:p>
    <w:p w14:paraId="20A6FEBB" w14:textId="6C2FE671" w:rsidR="004411A0" w:rsidRPr="004411A0" w:rsidRDefault="004411A0" w:rsidP="00E75AEF">
      <w:pPr>
        <w:pStyle w:val="BulletList"/>
        <w:numPr>
          <w:ilvl w:val="0"/>
          <w:numId w:val="2"/>
        </w:numPr>
        <w:spacing w:before="0" w:after="120"/>
        <w:ind w:left="680" w:hanging="340"/>
        <w:rPr>
          <w:rFonts w:asciiTheme="minorHAnsi" w:hAnsiTheme="minorHAnsi" w:cstheme="minorHAnsi"/>
          <w:color w:val="auto"/>
          <w:sz w:val="24"/>
          <w:szCs w:val="24"/>
        </w:rPr>
      </w:pPr>
      <w:r>
        <w:rPr>
          <w:rFonts w:asciiTheme="minorHAnsi" w:hAnsiTheme="minorHAnsi" w:cstheme="minorHAnsi"/>
          <w:color w:val="auto"/>
          <w:sz w:val="24"/>
          <w:szCs w:val="24"/>
        </w:rPr>
        <w:t>Upgrade your existing SMSF Special Purpose Company Constitution</w:t>
      </w:r>
      <w:r w:rsidR="00345050">
        <w:rPr>
          <w:rFonts w:asciiTheme="minorHAnsi" w:hAnsiTheme="minorHAnsi" w:cstheme="minorHAnsi"/>
          <w:color w:val="auto"/>
          <w:sz w:val="24"/>
          <w:szCs w:val="24"/>
        </w:rPr>
        <w:t xml:space="preserve"> for </w:t>
      </w:r>
      <w:r w:rsidR="00345050" w:rsidRPr="00345050">
        <w:rPr>
          <w:rFonts w:asciiTheme="minorHAnsi" w:hAnsiTheme="minorHAnsi" w:cstheme="minorHAnsi"/>
          <w:color w:val="auto"/>
          <w:sz w:val="24"/>
          <w:szCs w:val="24"/>
          <w:highlight w:val="yellow"/>
        </w:rPr>
        <w:t>&lt;insert existing company name&gt;</w:t>
      </w:r>
      <w:r w:rsidR="00345050" w:rsidRPr="004411A0">
        <w:rPr>
          <w:rFonts w:asciiTheme="minorHAnsi" w:hAnsiTheme="minorHAnsi" w:cstheme="minorHAnsi"/>
          <w:color w:val="auto"/>
          <w:sz w:val="24"/>
          <w:szCs w:val="24"/>
        </w:rPr>
        <w:t xml:space="preserve"> </w:t>
      </w:r>
      <w:r>
        <w:rPr>
          <w:rFonts w:asciiTheme="minorHAnsi" w:hAnsiTheme="minorHAnsi" w:cstheme="minorHAnsi"/>
          <w:color w:val="auto"/>
          <w:sz w:val="24"/>
          <w:szCs w:val="24"/>
        </w:rPr>
        <w:t xml:space="preserve">to a SMSF Special Purpose Leading Member Company Constitution. This upgrade will incorporate: </w:t>
      </w:r>
    </w:p>
    <w:p w14:paraId="7A285C08" w14:textId="67D9C510" w:rsidR="00E0702E" w:rsidRDefault="004411A0" w:rsidP="00E75AEF">
      <w:pPr>
        <w:pStyle w:val="BulletList"/>
        <w:numPr>
          <w:ilvl w:val="3"/>
          <w:numId w:val="10"/>
        </w:numPr>
        <w:spacing w:before="0" w:after="120"/>
        <w:rPr>
          <w:rFonts w:asciiTheme="minorHAnsi" w:hAnsiTheme="minorHAnsi" w:cstheme="minorHAnsi"/>
          <w:color w:val="auto"/>
          <w:sz w:val="24"/>
          <w:szCs w:val="24"/>
        </w:rPr>
      </w:pPr>
      <w:r>
        <w:rPr>
          <w:rFonts w:asciiTheme="minorHAnsi" w:hAnsiTheme="minorHAnsi" w:cstheme="minorHAnsi"/>
          <w:color w:val="auto"/>
          <w:sz w:val="24"/>
          <w:szCs w:val="24"/>
        </w:rPr>
        <w:t xml:space="preserve">A </w:t>
      </w:r>
      <w:r w:rsidRPr="004411A0">
        <w:rPr>
          <w:rFonts w:asciiTheme="minorHAnsi" w:hAnsiTheme="minorHAnsi" w:cstheme="minorHAnsi"/>
          <w:color w:val="auto"/>
          <w:sz w:val="24"/>
          <w:szCs w:val="24"/>
        </w:rPr>
        <w:t xml:space="preserve">special resolution by company members to change the constitution to a </w:t>
      </w:r>
      <w:r>
        <w:rPr>
          <w:rFonts w:asciiTheme="minorHAnsi" w:hAnsiTheme="minorHAnsi" w:cstheme="minorHAnsi"/>
          <w:color w:val="auto"/>
          <w:sz w:val="24"/>
          <w:szCs w:val="24"/>
        </w:rPr>
        <w:t>S</w:t>
      </w:r>
      <w:r w:rsidRPr="004411A0">
        <w:rPr>
          <w:rFonts w:asciiTheme="minorHAnsi" w:hAnsiTheme="minorHAnsi" w:cstheme="minorHAnsi"/>
          <w:color w:val="auto"/>
          <w:sz w:val="24"/>
          <w:szCs w:val="24"/>
        </w:rPr>
        <w:t xml:space="preserve">pecial </w:t>
      </w:r>
      <w:r>
        <w:rPr>
          <w:rFonts w:asciiTheme="minorHAnsi" w:hAnsiTheme="minorHAnsi" w:cstheme="minorHAnsi"/>
          <w:color w:val="auto"/>
          <w:sz w:val="24"/>
          <w:szCs w:val="24"/>
        </w:rPr>
        <w:t>P</w:t>
      </w:r>
      <w:r w:rsidRPr="004411A0">
        <w:rPr>
          <w:rFonts w:asciiTheme="minorHAnsi" w:hAnsiTheme="minorHAnsi" w:cstheme="minorHAnsi"/>
          <w:color w:val="auto"/>
          <w:sz w:val="24"/>
          <w:szCs w:val="24"/>
        </w:rPr>
        <w:t xml:space="preserve">urpose </w:t>
      </w:r>
      <w:r>
        <w:rPr>
          <w:rFonts w:asciiTheme="minorHAnsi" w:hAnsiTheme="minorHAnsi" w:cstheme="minorHAnsi"/>
          <w:color w:val="auto"/>
          <w:sz w:val="24"/>
          <w:szCs w:val="24"/>
        </w:rPr>
        <w:t>L</w:t>
      </w:r>
      <w:r w:rsidRPr="004411A0">
        <w:rPr>
          <w:rFonts w:asciiTheme="minorHAnsi" w:hAnsiTheme="minorHAnsi" w:cstheme="minorHAnsi"/>
          <w:color w:val="auto"/>
          <w:sz w:val="24"/>
          <w:szCs w:val="24"/>
        </w:rPr>
        <w:t xml:space="preserve">eading </w:t>
      </w:r>
      <w:r>
        <w:rPr>
          <w:rFonts w:asciiTheme="minorHAnsi" w:hAnsiTheme="minorHAnsi" w:cstheme="minorHAnsi"/>
          <w:color w:val="auto"/>
          <w:sz w:val="24"/>
          <w:szCs w:val="24"/>
        </w:rPr>
        <w:t>M</w:t>
      </w:r>
      <w:r w:rsidRPr="004411A0">
        <w:rPr>
          <w:rFonts w:asciiTheme="minorHAnsi" w:hAnsiTheme="minorHAnsi" w:cstheme="minorHAnsi"/>
          <w:color w:val="auto"/>
          <w:sz w:val="24"/>
          <w:szCs w:val="24"/>
        </w:rPr>
        <w:t xml:space="preserve">ember </w:t>
      </w:r>
      <w:r>
        <w:rPr>
          <w:rFonts w:asciiTheme="minorHAnsi" w:hAnsiTheme="minorHAnsi" w:cstheme="minorHAnsi"/>
          <w:color w:val="auto"/>
          <w:sz w:val="24"/>
          <w:szCs w:val="24"/>
        </w:rPr>
        <w:t>C</w:t>
      </w:r>
      <w:r w:rsidRPr="004411A0">
        <w:rPr>
          <w:rFonts w:asciiTheme="minorHAnsi" w:hAnsiTheme="minorHAnsi" w:cstheme="minorHAnsi"/>
          <w:color w:val="auto"/>
          <w:sz w:val="24"/>
          <w:szCs w:val="24"/>
        </w:rPr>
        <w:t xml:space="preserve">ompany </w:t>
      </w:r>
      <w:r>
        <w:rPr>
          <w:rFonts w:asciiTheme="minorHAnsi" w:hAnsiTheme="minorHAnsi" w:cstheme="minorHAnsi"/>
          <w:color w:val="auto"/>
          <w:sz w:val="24"/>
          <w:szCs w:val="24"/>
        </w:rPr>
        <w:t>Co</w:t>
      </w:r>
      <w:r w:rsidRPr="004411A0">
        <w:rPr>
          <w:rFonts w:asciiTheme="minorHAnsi" w:hAnsiTheme="minorHAnsi" w:cstheme="minorHAnsi"/>
          <w:color w:val="auto"/>
          <w:sz w:val="24"/>
          <w:szCs w:val="24"/>
        </w:rPr>
        <w:t>nstitution</w:t>
      </w:r>
      <w:r>
        <w:rPr>
          <w:rFonts w:asciiTheme="minorHAnsi" w:hAnsiTheme="minorHAnsi" w:cstheme="minorHAnsi"/>
          <w:color w:val="auto"/>
          <w:sz w:val="24"/>
          <w:szCs w:val="24"/>
        </w:rPr>
        <w:t>.</w:t>
      </w:r>
    </w:p>
    <w:p w14:paraId="2869DFB7" w14:textId="38B57BD9" w:rsidR="004411A0" w:rsidRDefault="004411A0" w:rsidP="00E75AEF">
      <w:pPr>
        <w:pStyle w:val="BulletList"/>
        <w:numPr>
          <w:ilvl w:val="3"/>
          <w:numId w:val="10"/>
        </w:numPr>
        <w:spacing w:before="0" w:after="120"/>
        <w:rPr>
          <w:rFonts w:asciiTheme="minorHAnsi" w:hAnsiTheme="minorHAnsi" w:cstheme="minorHAnsi"/>
          <w:color w:val="auto"/>
          <w:sz w:val="24"/>
          <w:szCs w:val="24"/>
        </w:rPr>
      </w:pPr>
      <w:r>
        <w:rPr>
          <w:rFonts w:asciiTheme="minorHAnsi" w:hAnsiTheme="minorHAnsi" w:cstheme="minorHAnsi"/>
          <w:color w:val="auto"/>
          <w:sz w:val="24"/>
          <w:szCs w:val="24"/>
        </w:rPr>
        <w:t>A unanimous decision by all members of the Fund</w:t>
      </w:r>
      <w:r w:rsidRPr="004411A0">
        <w:rPr>
          <w:rFonts w:asciiTheme="minorHAnsi" w:hAnsiTheme="minorHAnsi" w:cstheme="minorHAnsi"/>
          <w:color w:val="auto"/>
          <w:sz w:val="24"/>
          <w:szCs w:val="24"/>
        </w:rPr>
        <w:t xml:space="preserve"> adopt a constitution to ensure that control resides with the Leading Member of the Fund for which </w:t>
      </w:r>
      <w:r w:rsidR="00345050" w:rsidRPr="00345050">
        <w:rPr>
          <w:rFonts w:asciiTheme="minorHAnsi" w:hAnsiTheme="minorHAnsi" w:cstheme="minorHAnsi"/>
          <w:color w:val="auto"/>
          <w:sz w:val="24"/>
          <w:szCs w:val="24"/>
          <w:highlight w:val="yellow"/>
        </w:rPr>
        <w:t>&lt;insert existing company name&gt;</w:t>
      </w:r>
      <w:r w:rsidRPr="004411A0">
        <w:rPr>
          <w:rFonts w:asciiTheme="minorHAnsi" w:hAnsiTheme="minorHAnsi" w:cstheme="minorHAnsi"/>
          <w:color w:val="auto"/>
          <w:sz w:val="24"/>
          <w:szCs w:val="24"/>
        </w:rPr>
        <w:t xml:space="preserve"> acts as Trustee.</w:t>
      </w:r>
    </w:p>
    <w:p w14:paraId="6074970F" w14:textId="5C8980E5" w:rsidR="004411A0" w:rsidRDefault="004411A0" w:rsidP="00E75AEF">
      <w:pPr>
        <w:pStyle w:val="BulletList"/>
        <w:numPr>
          <w:ilvl w:val="3"/>
          <w:numId w:val="10"/>
        </w:numPr>
        <w:spacing w:before="0" w:after="120"/>
        <w:rPr>
          <w:rFonts w:asciiTheme="minorHAnsi" w:hAnsiTheme="minorHAnsi" w:cstheme="minorHAnsi"/>
          <w:color w:val="auto"/>
          <w:sz w:val="24"/>
          <w:szCs w:val="24"/>
        </w:rPr>
      </w:pPr>
      <w:r>
        <w:rPr>
          <w:rFonts w:asciiTheme="minorHAnsi" w:hAnsiTheme="minorHAnsi" w:cstheme="minorHAnsi"/>
          <w:color w:val="auto"/>
          <w:sz w:val="24"/>
          <w:szCs w:val="24"/>
        </w:rPr>
        <w:t>The execution of a new Leading Member Constitution for your existing Special Purpose Company, as noted in point (a)</w:t>
      </w:r>
      <w:r w:rsidR="00345050">
        <w:rPr>
          <w:rFonts w:asciiTheme="minorHAnsi" w:hAnsiTheme="minorHAnsi" w:cstheme="minorHAnsi"/>
          <w:color w:val="auto"/>
          <w:sz w:val="24"/>
          <w:szCs w:val="24"/>
        </w:rPr>
        <w:t xml:space="preserve">effective from </w:t>
      </w:r>
      <w:r w:rsidR="00345050" w:rsidRPr="00345050">
        <w:rPr>
          <w:rFonts w:asciiTheme="minorHAnsi" w:hAnsiTheme="minorHAnsi" w:cstheme="minorHAnsi"/>
          <w:color w:val="auto"/>
          <w:sz w:val="24"/>
          <w:szCs w:val="24"/>
          <w:highlight w:val="yellow"/>
        </w:rPr>
        <w:t>&lt;insert date of resolution&gt;</w:t>
      </w:r>
      <w:r w:rsidR="00345050">
        <w:rPr>
          <w:rFonts w:asciiTheme="minorHAnsi" w:hAnsiTheme="minorHAnsi" w:cstheme="minorHAnsi"/>
          <w:color w:val="auto"/>
          <w:sz w:val="24"/>
          <w:szCs w:val="24"/>
        </w:rPr>
        <w:t>.</w:t>
      </w:r>
    </w:p>
    <w:p w14:paraId="2222B320" w14:textId="6DDF58D4" w:rsidR="0043745D" w:rsidRDefault="0043745D" w:rsidP="00E75AEF">
      <w:pPr>
        <w:pStyle w:val="BulletList"/>
        <w:numPr>
          <w:ilvl w:val="3"/>
          <w:numId w:val="10"/>
        </w:numPr>
        <w:spacing w:before="0" w:after="120"/>
        <w:rPr>
          <w:rFonts w:asciiTheme="minorHAnsi" w:hAnsiTheme="minorHAnsi" w:cstheme="minorHAnsi"/>
          <w:color w:val="auto"/>
          <w:sz w:val="24"/>
          <w:szCs w:val="24"/>
        </w:rPr>
      </w:pPr>
      <w:r>
        <w:rPr>
          <w:rFonts w:asciiTheme="minorHAnsi" w:hAnsiTheme="minorHAnsi" w:cstheme="minorHAnsi"/>
          <w:color w:val="auto"/>
          <w:sz w:val="24"/>
          <w:szCs w:val="24"/>
        </w:rPr>
        <w:t>The transfer of all existing shareholdings to the Leading Member</w:t>
      </w:r>
      <w:r w:rsidR="00780BE7">
        <w:rPr>
          <w:rFonts w:asciiTheme="minorHAnsi" w:hAnsiTheme="minorHAnsi" w:cstheme="minorHAnsi"/>
          <w:color w:val="auto"/>
          <w:sz w:val="24"/>
          <w:szCs w:val="24"/>
        </w:rPr>
        <w:t xml:space="preserve"> or the cancellation of all shares </w:t>
      </w:r>
      <w:proofErr w:type="gramStart"/>
      <w:r w:rsidR="00780BE7">
        <w:rPr>
          <w:rFonts w:asciiTheme="minorHAnsi" w:hAnsiTheme="minorHAnsi" w:cstheme="minorHAnsi"/>
          <w:color w:val="auto"/>
          <w:sz w:val="24"/>
          <w:szCs w:val="24"/>
        </w:rPr>
        <w:t>with the exception of</w:t>
      </w:r>
      <w:proofErr w:type="gramEnd"/>
      <w:r w:rsidR="00780BE7">
        <w:rPr>
          <w:rFonts w:asciiTheme="minorHAnsi" w:hAnsiTheme="minorHAnsi" w:cstheme="minorHAnsi"/>
          <w:color w:val="auto"/>
          <w:sz w:val="24"/>
          <w:szCs w:val="24"/>
        </w:rPr>
        <w:t xml:space="preserve"> the Leading Member.</w:t>
      </w:r>
    </w:p>
    <w:p w14:paraId="30426D0E" w14:textId="6501F563" w:rsidR="004411A0" w:rsidRDefault="004411A0" w:rsidP="00E75AEF">
      <w:pPr>
        <w:pStyle w:val="BulletList"/>
        <w:numPr>
          <w:ilvl w:val="0"/>
          <w:numId w:val="2"/>
        </w:numPr>
        <w:spacing w:before="0" w:after="120"/>
        <w:ind w:left="680" w:hanging="340"/>
        <w:rPr>
          <w:rFonts w:asciiTheme="minorHAnsi" w:hAnsiTheme="minorHAnsi" w:cstheme="minorHAnsi"/>
          <w:color w:val="auto"/>
          <w:sz w:val="24"/>
          <w:szCs w:val="24"/>
        </w:rPr>
      </w:pPr>
      <w:r>
        <w:rPr>
          <w:rFonts w:asciiTheme="minorHAnsi" w:hAnsiTheme="minorHAnsi" w:cstheme="minorHAnsi"/>
          <w:color w:val="auto"/>
          <w:sz w:val="24"/>
          <w:szCs w:val="24"/>
        </w:rPr>
        <w:t>Execute a Deed of Variation to vary</w:t>
      </w:r>
      <w:r w:rsidR="00E75AEF">
        <w:rPr>
          <w:rFonts w:asciiTheme="minorHAnsi" w:hAnsiTheme="minorHAnsi" w:cstheme="minorHAnsi"/>
          <w:color w:val="auto"/>
          <w:sz w:val="24"/>
          <w:szCs w:val="24"/>
        </w:rPr>
        <w:t xml:space="preserve"> the</w:t>
      </w:r>
      <w:r>
        <w:rPr>
          <w:rFonts w:asciiTheme="minorHAnsi" w:hAnsiTheme="minorHAnsi" w:cstheme="minorHAnsi"/>
          <w:color w:val="auto"/>
          <w:sz w:val="24"/>
          <w:szCs w:val="24"/>
        </w:rPr>
        <w:t xml:space="preserve"> </w:t>
      </w:r>
      <w:r w:rsidR="00345050" w:rsidRPr="00345050">
        <w:rPr>
          <w:rFonts w:asciiTheme="minorHAnsi" w:hAnsiTheme="minorHAnsi" w:cstheme="minorHAnsi"/>
          <w:color w:val="auto"/>
          <w:sz w:val="24"/>
          <w:szCs w:val="24"/>
          <w:highlight w:val="yellow"/>
        </w:rPr>
        <w:t>&lt;insert SMSF name&gt;</w:t>
      </w:r>
      <w:r>
        <w:rPr>
          <w:rFonts w:asciiTheme="minorHAnsi" w:hAnsiTheme="minorHAnsi" w:cstheme="minorHAnsi"/>
          <w:color w:val="auto"/>
          <w:sz w:val="24"/>
          <w:szCs w:val="24"/>
        </w:rPr>
        <w:t xml:space="preserve"> into </w:t>
      </w:r>
      <w:r w:rsidR="00345050">
        <w:rPr>
          <w:rFonts w:asciiTheme="minorHAnsi" w:hAnsiTheme="minorHAnsi" w:cstheme="minorHAnsi"/>
          <w:color w:val="auto"/>
          <w:sz w:val="24"/>
          <w:szCs w:val="24"/>
        </w:rPr>
        <w:t>a Leading Member SMSF. This variation will incorporate:</w:t>
      </w:r>
    </w:p>
    <w:p w14:paraId="6C16FD07" w14:textId="77777777" w:rsidR="005F4527" w:rsidRPr="005F4527" w:rsidRDefault="005F4527" w:rsidP="005F4527">
      <w:pPr>
        <w:pStyle w:val="BulletList"/>
        <w:numPr>
          <w:ilvl w:val="3"/>
          <w:numId w:val="12"/>
        </w:numPr>
        <w:spacing w:before="0" w:after="120"/>
        <w:rPr>
          <w:rFonts w:asciiTheme="minorHAnsi" w:hAnsiTheme="minorHAnsi" w:cstheme="minorHAnsi"/>
          <w:color w:val="auto"/>
          <w:sz w:val="24"/>
          <w:szCs w:val="24"/>
        </w:rPr>
      </w:pPr>
      <w:r w:rsidRPr="005F4527">
        <w:rPr>
          <w:rFonts w:asciiTheme="minorHAnsi" w:hAnsiTheme="minorHAnsi" w:cstheme="minorHAnsi"/>
          <w:color w:val="auto"/>
          <w:sz w:val="24"/>
          <w:szCs w:val="24"/>
        </w:rPr>
        <w:t xml:space="preserve">Adherence to rule </w:t>
      </w:r>
      <w:r w:rsidRPr="005F4527">
        <w:rPr>
          <w:rFonts w:asciiTheme="minorHAnsi" w:hAnsiTheme="minorHAnsi" w:cstheme="minorHAnsi"/>
          <w:color w:val="auto"/>
          <w:sz w:val="24"/>
          <w:szCs w:val="24"/>
          <w:highlight w:val="yellow"/>
        </w:rPr>
        <w:t>&lt;insert existing seed rule number</w:t>
      </w:r>
      <w:r w:rsidRPr="005F4527">
        <w:rPr>
          <w:rFonts w:asciiTheme="minorHAnsi" w:hAnsiTheme="minorHAnsi" w:cstheme="minorHAnsi"/>
          <w:color w:val="auto"/>
          <w:sz w:val="24"/>
          <w:szCs w:val="24"/>
        </w:rPr>
        <w:t xml:space="preserve">&gt; as defined in the existing Substituted Governing Rules of the </w:t>
      </w:r>
      <w:r w:rsidRPr="005F4527">
        <w:rPr>
          <w:rFonts w:asciiTheme="minorHAnsi" w:hAnsiTheme="minorHAnsi" w:cstheme="minorHAnsi"/>
          <w:color w:val="auto"/>
          <w:sz w:val="24"/>
          <w:szCs w:val="24"/>
          <w:highlight w:val="yellow"/>
        </w:rPr>
        <w:t>&lt;insert SMSF name&gt;.</w:t>
      </w:r>
    </w:p>
    <w:p w14:paraId="48B00CA3" w14:textId="10BFD78A" w:rsidR="00A85C41" w:rsidRDefault="00345050" w:rsidP="00E75AEF">
      <w:pPr>
        <w:pStyle w:val="BulletList"/>
        <w:numPr>
          <w:ilvl w:val="3"/>
          <w:numId w:val="12"/>
        </w:numPr>
        <w:spacing w:before="0" w:after="120"/>
        <w:rPr>
          <w:rFonts w:asciiTheme="minorHAnsi" w:hAnsiTheme="minorHAnsi" w:cstheme="minorHAnsi"/>
          <w:color w:val="auto"/>
          <w:sz w:val="24"/>
          <w:szCs w:val="24"/>
        </w:rPr>
      </w:pPr>
      <w:r>
        <w:rPr>
          <w:rFonts w:asciiTheme="minorHAnsi" w:hAnsiTheme="minorHAnsi" w:cstheme="minorHAnsi"/>
          <w:color w:val="auto"/>
          <w:sz w:val="24"/>
          <w:szCs w:val="24"/>
        </w:rPr>
        <w:lastRenderedPageBreak/>
        <w:t>The appointment of a Leading Member. Speci</w:t>
      </w:r>
      <w:r w:rsidR="005F4527">
        <w:rPr>
          <w:rFonts w:asciiTheme="minorHAnsi" w:hAnsiTheme="minorHAnsi" w:cstheme="minorHAnsi"/>
          <w:color w:val="auto"/>
          <w:sz w:val="24"/>
          <w:szCs w:val="24"/>
        </w:rPr>
        <w:t>fic</w:t>
      </w:r>
      <w:r>
        <w:rPr>
          <w:rFonts w:asciiTheme="minorHAnsi" w:hAnsiTheme="minorHAnsi" w:cstheme="minorHAnsi"/>
          <w:color w:val="auto"/>
          <w:sz w:val="24"/>
          <w:szCs w:val="24"/>
        </w:rPr>
        <w:t xml:space="preserve">ally, </w:t>
      </w:r>
      <w:r w:rsidRPr="00345050">
        <w:rPr>
          <w:rFonts w:asciiTheme="minorHAnsi" w:hAnsiTheme="minorHAnsi" w:cstheme="minorHAnsi"/>
          <w:color w:val="auto"/>
          <w:sz w:val="24"/>
          <w:szCs w:val="24"/>
          <w:highlight w:val="yellow"/>
        </w:rPr>
        <w:t>&lt;insert leading member 1 name&gt;</w:t>
      </w:r>
      <w:r>
        <w:rPr>
          <w:rFonts w:asciiTheme="minorHAnsi" w:hAnsiTheme="minorHAnsi" w:cstheme="minorHAnsi"/>
          <w:color w:val="auto"/>
          <w:sz w:val="24"/>
          <w:szCs w:val="24"/>
        </w:rPr>
        <w:t xml:space="preserve"> is to be appointed as the first leading member. </w:t>
      </w:r>
    </w:p>
    <w:p w14:paraId="49DA3248" w14:textId="46EBDE6E" w:rsidR="00345050" w:rsidRDefault="00345050" w:rsidP="00E75AEF">
      <w:pPr>
        <w:pStyle w:val="BulletList"/>
        <w:numPr>
          <w:ilvl w:val="3"/>
          <w:numId w:val="12"/>
        </w:numPr>
        <w:spacing w:before="0" w:after="120"/>
        <w:rPr>
          <w:rFonts w:asciiTheme="minorHAnsi" w:hAnsiTheme="minorHAnsi" w:cstheme="minorHAnsi"/>
          <w:color w:val="auto"/>
          <w:sz w:val="24"/>
          <w:szCs w:val="24"/>
        </w:rPr>
      </w:pPr>
      <w:r w:rsidRPr="00345050">
        <w:rPr>
          <w:rFonts w:asciiTheme="minorHAnsi" w:hAnsiTheme="minorHAnsi" w:cstheme="minorHAnsi"/>
          <w:color w:val="auto"/>
          <w:sz w:val="24"/>
          <w:szCs w:val="24"/>
          <w:highlight w:val="yellow"/>
        </w:rPr>
        <w:t>&lt;if applicable&gt;</w:t>
      </w:r>
      <w:r>
        <w:rPr>
          <w:rFonts w:asciiTheme="minorHAnsi" w:hAnsiTheme="minorHAnsi" w:cstheme="minorHAnsi"/>
          <w:color w:val="auto"/>
          <w:sz w:val="24"/>
          <w:szCs w:val="24"/>
        </w:rPr>
        <w:t xml:space="preserve"> The appointment of a Second Leading Member. Speci</w:t>
      </w:r>
      <w:r w:rsidR="005F4527">
        <w:rPr>
          <w:rFonts w:asciiTheme="minorHAnsi" w:hAnsiTheme="minorHAnsi" w:cstheme="minorHAnsi"/>
          <w:color w:val="auto"/>
          <w:sz w:val="24"/>
          <w:szCs w:val="24"/>
        </w:rPr>
        <w:t>fic</w:t>
      </w:r>
      <w:r>
        <w:rPr>
          <w:rFonts w:asciiTheme="minorHAnsi" w:hAnsiTheme="minorHAnsi" w:cstheme="minorHAnsi"/>
          <w:color w:val="auto"/>
          <w:sz w:val="24"/>
          <w:szCs w:val="24"/>
        </w:rPr>
        <w:t xml:space="preserve">ally, </w:t>
      </w:r>
      <w:r w:rsidRPr="00345050">
        <w:rPr>
          <w:rFonts w:asciiTheme="minorHAnsi" w:hAnsiTheme="minorHAnsi" w:cstheme="minorHAnsi"/>
          <w:color w:val="auto"/>
          <w:sz w:val="24"/>
          <w:szCs w:val="24"/>
          <w:highlight w:val="yellow"/>
        </w:rPr>
        <w:t>&lt;insert leading member 2 name&gt;</w:t>
      </w:r>
      <w:r>
        <w:rPr>
          <w:rFonts w:asciiTheme="minorHAnsi" w:hAnsiTheme="minorHAnsi" w:cstheme="minorHAnsi"/>
          <w:color w:val="auto"/>
          <w:sz w:val="24"/>
          <w:szCs w:val="24"/>
        </w:rPr>
        <w:t xml:space="preserve"> is to be appointed as the second leading member.</w:t>
      </w:r>
    </w:p>
    <w:p w14:paraId="30A62D40" w14:textId="7199E93D" w:rsidR="00345050" w:rsidRDefault="00345050" w:rsidP="00E75AEF">
      <w:pPr>
        <w:pStyle w:val="BulletList"/>
        <w:numPr>
          <w:ilvl w:val="3"/>
          <w:numId w:val="12"/>
        </w:numPr>
        <w:spacing w:before="0" w:after="120"/>
        <w:rPr>
          <w:rFonts w:asciiTheme="minorHAnsi" w:hAnsiTheme="minorHAnsi" w:cstheme="minorHAnsi"/>
          <w:color w:val="auto"/>
          <w:sz w:val="24"/>
          <w:szCs w:val="24"/>
        </w:rPr>
      </w:pPr>
      <w:r w:rsidRPr="00345050">
        <w:rPr>
          <w:rFonts w:asciiTheme="minorHAnsi" w:hAnsiTheme="minorHAnsi" w:cstheme="minorHAnsi"/>
          <w:color w:val="auto"/>
          <w:sz w:val="24"/>
          <w:szCs w:val="24"/>
          <w:highlight w:val="yellow"/>
        </w:rPr>
        <w:t>&lt;if applicable&gt;</w:t>
      </w:r>
      <w:r>
        <w:rPr>
          <w:rFonts w:asciiTheme="minorHAnsi" w:hAnsiTheme="minorHAnsi" w:cstheme="minorHAnsi"/>
          <w:color w:val="auto"/>
          <w:sz w:val="24"/>
          <w:szCs w:val="24"/>
        </w:rPr>
        <w:t xml:space="preserve"> The appointment of a Third Leading Member. Speci</w:t>
      </w:r>
      <w:r w:rsidR="00792900">
        <w:rPr>
          <w:rFonts w:asciiTheme="minorHAnsi" w:hAnsiTheme="minorHAnsi" w:cstheme="minorHAnsi"/>
          <w:color w:val="auto"/>
          <w:sz w:val="24"/>
          <w:szCs w:val="24"/>
        </w:rPr>
        <w:t>fic</w:t>
      </w:r>
      <w:r>
        <w:rPr>
          <w:rFonts w:asciiTheme="minorHAnsi" w:hAnsiTheme="minorHAnsi" w:cstheme="minorHAnsi"/>
          <w:color w:val="auto"/>
          <w:sz w:val="24"/>
          <w:szCs w:val="24"/>
        </w:rPr>
        <w:t xml:space="preserve">ally, </w:t>
      </w:r>
      <w:r w:rsidRPr="00345050">
        <w:rPr>
          <w:rFonts w:asciiTheme="minorHAnsi" w:hAnsiTheme="minorHAnsi" w:cstheme="minorHAnsi"/>
          <w:color w:val="auto"/>
          <w:sz w:val="24"/>
          <w:szCs w:val="24"/>
          <w:highlight w:val="yellow"/>
        </w:rPr>
        <w:t>&lt;insert leading member 3 name&gt;</w:t>
      </w:r>
      <w:r>
        <w:rPr>
          <w:rFonts w:asciiTheme="minorHAnsi" w:hAnsiTheme="minorHAnsi" w:cstheme="minorHAnsi"/>
          <w:color w:val="auto"/>
          <w:sz w:val="24"/>
          <w:szCs w:val="24"/>
        </w:rPr>
        <w:t xml:space="preserve"> is to be appointed as the third leading member.</w:t>
      </w:r>
    </w:p>
    <w:p w14:paraId="7F8E51F1" w14:textId="77777777" w:rsidR="00E75AEF" w:rsidRDefault="00345050" w:rsidP="00E75AEF">
      <w:pPr>
        <w:pStyle w:val="BulletList"/>
        <w:numPr>
          <w:ilvl w:val="3"/>
          <w:numId w:val="12"/>
        </w:numPr>
        <w:spacing w:before="0" w:after="120"/>
        <w:rPr>
          <w:rFonts w:asciiTheme="minorHAnsi" w:hAnsiTheme="minorHAnsi" w:cstheme="minorHAnsi"/>
          <w:color w:val="auto"/>
          <w:sz w:val="24"/>
          <w:szCs w:val="24"/>
        </w:rPr>
      </w:pPr>
      <w:r>
        <w:rPr>
          <w:rFonts w:asciiTheme="minorHAnsi" w:hAnsiTheme="minorHAnsi" w:cstheme="minorHAnsi"/>
          <w:color w:val="auto"/>
          <w:sz w:val="24"/>
          <w:szCs w:val="24"/>
        </w:rPr>
        <w:t xml:space="preserve">The execution of a new trust deed and replacement of governing rules for </w:t>
      </w:r>
      <w:r w:rsidRPr="00345050">
        <w:rPr>
          <w:rFonts w:asciiTheme="minorHAnsi" w:hAnsiTheme="minorHAnsi" w:cstheme="minorHAnsi"/>
          <w:color w:val="auto"/>
          <w:sz w:val="24"/>
          <w:szCs w:val="24"/>
          <w:highlight w:val="yellow"/>
        </w:rPr>
        <w:t>&lt;insert SMSF name&gt;</w:t>
      </w:r>
      <w:r>
        <w:rPr>
          <w:rFonts w:asciiTheme="minorHAnsi" w:hAnsiTheme="minorHAnsi" w:cstheme="minorHAnsi"/>
          <w:color w:val="auto"/>
          <w:sz w:val="24"/>
          <w:szCs w:val="24"/>
        </w:rPr>
        <w:t xml:space="preserve"> effective from </w:t>
      </w:r>
      <w:r w:rsidRPr="00345050">
        <w:rPr>
          <w:rFonts w:asciiTheme="minorHAnsi" w:hAnsiTheme="minorHAnsi" w:cstheme="minorHAnsi"/>
          <w:color w:val="auto"/>
          <w:sz w:val="24"/>
          <w:szCs w:val="24"/>
          <w:highlight w:val="yellow"/>
        </w:rPr>
        <w:t>&lt;insert new deed date&gt;</w:t>
      </w:r>
      <w:r>
        <w:rPr>
          <w:rFonts w:asciiTheme="minorHAnsi" w:hAnsiTheme="minorHAnsi" w:cstheme="minorHAnsi"/>
          <w:color w:val="auto"/>
          <w:sz w:val="24"/>
          <w:szCs w:val="24"/>
        </w:rPr>
        <w:t xml:space="preserve">. </w:t>
      </w:r>
      <w:r w:rsidR="00E75AEF">
        <w:rPr>
          <w:rFonts w:asciiTheme="minorHAnsi" w:hAnsiTheme="minorHAnsi" w:cstheme="minorHAnsi"/>
          <w:color w:val="auto"/>
          <w:sz w:val="24"/>
          <w:szCs w:val="24"/>
        </w:rPr>
        <w:t xml:space="preserve"> </w:t>
      </w:r>
    </w:p>
    <w:p w14:paraId="6FB9EA56" w14:textId="77777777" w:rsidR="00E75AEF" w:rsidRDefault="00E75AEF" w:rsidP="0092759E">
      <w:pPr>
        <w:pStyle w:val="BulletList"/>
        <w:numPr>
          <w:ilvl w:val="0"/>
          <w:numId w:val="0"/>
        </w:numPr>
        <w:spacing w:before="0" w:after="0"/>
        <w:ind w:left="1440"/>
        <w:rPr>
          <w:rFonts w:asciiTheme="minorHAnsi" w:hAnsiTheme="minorHAnsi" w:cstheme="minorHAnsi"/>
          <w:color w:val="auto"/>
          <w:sz w:val="24"/>
          <w:szCs w:val="24"/>
        </w:rPr>
      </w:pPr>
    </w:p>
    <w:p w14:paraId="693B4334" w14:textId="77777777" w:rsidR="00A85C41" w:rsidRDefault="00E75AEF" w:rsidP="0092759E">
      <w:pPr>
        <w:pStyle w:val="BulletList"/>
        <w:numPr>
          <w:ilvl w:val="0"/>
          <w:numId w:val="0"/>
        </w:numPr>
        <w:spacing w:before="0" w:after="0"/>
        <w:rPr>
          <w:rFonts w:asciiTheme="minorHAnsi" w:hAnsiTheme="minorHAnsi" w:cstheme="minorHAnsi"/>
          <w:color w:val="auto"/>
          <w:sz w:val="24"/>
          <w:szCs w:val="24"/>
        </w:rPr>
      </w:pPr>
      <w:r>
        <w:rPr>
          <w:rFonts w:asciiTheme="minorHAnsi" w:hAnsiTheme="minorHAnsi" w:cstheme="minorHAnsi"/>
          <w:color w:val="auto"/>
          <w:sz w:val="24"/>
          <w:szCs w:val="24"/>
        </w:rPr>
        <w:t xml:space="preserve">Once </w:t>
      </w:r>
      <w:proofErr w:type="gramStart"/>
      <w:r>
        <w:rPr>
          <w:rFonts w:asciiTheme="minorHAnsi" w:hAnsiTheme="minorHAnsi" w:cstheme="minorHAnsi"/>
          <w:color w:val="auto"/>
          <w:sz w:val="24"/>
          <w:szCs w:val="24"/>
        </w:rPr>
        <w:t>all of</w:t>
      </w:r>
      <w:proofErr w:type="gramEnd"/>
      <w:r>
        <w:rPr>
          <w:rFonts w:asciiTheme="minorHAnsi" w:hAnsiTheme="minorHAnsi" w:cstheme="minorHAnsi"/>
          <w:color w:val="auto"/>
          <w:sz w:val="24"/>
          <w:szCs w:val="24"/>
        </w:rPr>
        <w:t xml:space="preserve"> the above has been implemented, t</w:t>
      </w:r>
      <w:r w:rsidRPr="00E75AEF">
        <w:rPr>
          <w:rFonts w:asciiTheme="minorHAnsi" w:hAnsiTheme="minorHAnsi" w:cstheme="minorHAnsi"/>
          <w:color w:val="auto"/>
          <w:sz w:val="24"/>
          <w:szCs w:val="24"/>
        </w:rPr>
        <w:t>he Leading Member</w:t>
      </w:r>
      <w:r>
        <w:rPr>
          <w:rFonts w:asciiTheme="minorHAnsi" w:hAnsiTheme="minorHAnsi" w:cstheme="minorHAnsi"/>
          <w:color w:val="auto"/>
          <w:sz w:val="24"/>
          <w:szCs w:val="24"/>
        </w:rPr>
        <w:t>/s</w:t>
      </w:r>
      <w:r w:rsidRPr="00E75AEF">
        <w:rPr>
          <w:rFonts w:asciiTheme="minorHAnsi" w:hAnsiTheme="minorHAnsi" w:cstheme="minorHAnsi"/>
          <w:color w:val="auto"/>
          <w:sz w:val="24"/>
          <w:szCs w:val="24"/>
        </w:rPr>
        <w:t xml:space="preserve"> control the Trusteeship of the Fund as well as who the members of the Fund are (generally lineal) and what happens in the event of divorce, dementia or bankruptcy.  The Leading Member has the power to deem a person, such as their spouse, as lineal</w:t>
      </w:r>
      <w:r w:rsidR="00A85C41">
        <w:rPr>
          <w:rFonts w:asciiTheme="minorHAnsi" w:hAnsiTheme="minorHAnsi" w:cstheme="minorHAnsi"/>
          <w:color w:val="auto"/>
          <w:sz w:val="24"/>
          <w:szCs w:val="24"/>
        </w:rPr>
        <w:t>.</w:t>
      </w:r>
    </w:p>
    <w:p w14:paraId="627CFE62" w14:textId="77777777" w:rsidR="00A85C41" w:rsidRDefault="00A85C41" w:rsidP="00A85C41">
      <w:pPr>
        <w:pStyle w:val="BulletList"/>
        <w:numPr>
          <w:ilvl w:val="0"/>
          <w:numId w:val="0"/>
        </w:numPr>
        <w:spacing w:before="0" w:after="0"/>
        <w:rPr>
          <w:rFonts w:asciiTheme="minorHAnsi" w:hAnsiTheme="minorHAnsi" w:cstheme="minorHAnsi"/>
          <w:color w:val="auto"/>
          <w:sz w:val="24"/>
          <w:szCs w:val="24"/>
        </w:rPr>
      </w:pPr>
    </w:p>
    <w:tbl>
      <w:tblPr>
        <w:tblW w:w="9210" w:type="dxa"/>
        <w:tblInd w:w="-5" w:type="dxa"/>
        <w:tblLayout w:type="fixed"/>
        <w:tblLook w:val="0000" w:firstRow="0" w:lastRow="0" w:firstColumn="0" w:lastColumn="0" w:noHBand="0" w:noVBand="0"/>
      </w:tblPr>
      <w:tblGrid>
        <w:gridCol w:w="2400"/>
        <w:gridCol w:w="6810"/>
      </w:tblGrid>
      <w:tr w:rsidR="00E75AEF" w:rsidRPr="002F76CA" w14:paraId="202229EE" w14:textId="77777777" w:rsidTr="007D4D30">
        <w:trPr>
          <w:trHeight w:val="23"/>
        </w:trPr>
        <w:tc>
          <w:tcPr>
            <w:tcW w:w="2400" w:type="dxa"/>
            <w:tcBorders>
              <w:top w:val="single" w:sz="4" w:space="0" w:color="808080"/>
              <w:left w:val="single" w:sz="4" w:space="0" w:color="808080"/>
              <w:bottom w:val="single" w:sz="4" w:space="0" w:color="808080"/>
            </w:tcBorders>
            <w:shd w:val="clear" w:color="auto" w:fill="DCDFDF"/>
            <w:vAlign w:val="center"/>
          </w:tcPr>
          <w:p w14:paraId="58B49614" w14:textId="343C4E78" w:rsidR="00E75AEF" w:rsidRPr="00E75AEF" w:rsidRDefault="00E75AEF" w:rsidP="007D4D30">
            <w:pPr>
              <w:spacing w:after="0"/>
              <w:rPr>
                <w:rFonts w:eastAsia="Wingdings" w:cstheme="minorHAnsi"/>
                <w:color w:val="002E62"/>
                <w:szCs w:val="24"/>
              </w:rPr>
            </w:pPr>
            <w:r>
              <w:rPr>
                <w:rFonts w:cstheme="minorHAnsi"/>
                <w:szCs w:val="24"/>
              </w:rPr>
              <w:t>Benefits of the Leading Member SMSF Structure</w:t>
            </w:r>
          </w:p>
        </w:tc>
        <w:tc>
          <w:tcPr>
            <w:tcW w:w="681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4C00314" w14:textId="77777777" w:rsidR="002D7A1E" w:rsidRPr="002D7A1E" w:rsidRDefault="002D7A1E" w:rsidP="002D7A1E">
            <w:pPr>
              <w:pStyle w:val="BulletList"/>
              <w:numPr>
                <w:ilvl w:val="0"/>
                <w:numId w:val="0"/>
              </w:numPr>
              <w:spacing w:before="120" w:after="120"/>
              <w:ind w:left="360" w:hanging="360"/>
              <w:rPr>
                <w:rFonts w:asciiTheme="minorHAnsi" w:hAnsiTheme="minorHAnsi" w:cstheme="minorHAnsi"/>
                <w:b/>
                <w:sz w:val="24"/>
                <w:szCs w:val="24"/>
              </w:rPr>
            </w:pPr>
            <w:r w:rsidRPr="002D7A1E">
              <w:rPr>
                <w:rFonts w:asciiTheme="minorHAnsi" w:hAnsiTheme="minorHAnsi" w:cstheme="minorHAnsi"/>
                <w:b/>
                <w:sz w:val="24"/>
                <w:szCs w:val="24"/>
              </w:rPr>
              <w:t>Control of membership</w:t>
            </w:r>
          </w:p>
          <w:p w14:paraId="71F87A5B" w14:textId="77777777" w:rsidR="002D7A1E" w:rsidRDefault="002D7A1E" w:rsidP="002D7A1E">
            <w:pPr>
              <w:pStyle w:val="BulletList"/>
              <w:numPr>
                <w:ilvl w:val="0"/>
                <w:numId w:val="15"/>
              </w:numPr>
              <w:spacing w:before="0" w:after="120"/>
              <w:rPr>
                <w:rFonts w:asciiTheme="minorHAnsi" w:hAnsiTheme="minorHAnsi" w:cstheme="minorHAnsi"/>
                <w:sz w:val="24"/>
                <w:szCs w:val="24"/>
              </w:rPr>
            </w:pPr>
            <w:r>
              <w:rPr>
                <w:rFonts w:asciiTheme="minorHAnsi" w:hAnsiTheme="minorHAnsi" w:cstheme="minorHAnsi"/>
                <w:sz w:val="24"/>
                <w:szCs w:val="24"/>
              </w:rPr>
              <w:t>T</w:t>
            </w:r>
            <w:r w:rsidRPr="002D7A1E">
              <w:rPr>
                <w:rFonts w:asciiTheme="minorHAnsi" w:hAnsiTheme="minorHAnsi" w:cstheme="minorHAnsi"/>
                <w:sz w:val="24"/>
                <w:szCs w:val="24"/>
              </w:rPr>
              <w:t>he most successful SMSFs hold the next generation as members of the Fund.  When the senior members of the SMSF become mentally incapacitated</w:t>
            </w:r>
            <w:r>
              <w:rPr>
                <w:rFonts w:asciiTheme="minorHAnsi" w:hAnsiTheme="minorHAnsi" w:cstheme="minorHAnsi"/>
                <w:sz w:val="24"/>
                <w:szCs w:val="24"/>
              </w:rPr>
              <w:t>,</w:t>
            </w:r>
            <w:r w:rsidRPr="002D7A1E">
              <w:rPr>
                <w:rFonts w:asciiTheme="minorHAnsi" w:hAnsiTheme="minorHAnsi" w:cstheme="minorHAnsi"/>
                <w:sz w:val="24"/>
                <w:szCs w:val="24"/>
              </w:rPr>
              <w:t xml:space="preserve"> the next generation has the power to step up as Leading Member and control the fund as well as looking after the senior Members of the Fund.  </w:t>
            </w:r>
          </w:p>
          <w:p w14:paraId="05430158" w14:textId="647AF33C" w:rsidR="002D7A1E" w:rsidRPr="002D7A1E" w:rsidRDefault="002D7A1E" w:rsidP="002D7A1E">
            <w:pPr>
              <w:pStyle w:val="BulletList"/>
              <w:numPr>
                <w:ilvl w:val="0"/>
                <w:numId w:val="15"/>
              </w:numPr>
              <w:spacing w:before="0" w:after="120"/>
              <w:rPr>
                <w:rFonts w:asciiTheme="minorHAnsi" w:hAnsiTheme="minorHAnsi" w:cstheme="minorHAnsi"/>
                <w:sz w:val="24"/>
                <w:szCs w:val="24"/>
              </w:rPr>
            </w:pPr>
            <w:r>
              <w:rPr>
                <w:rFonts w:asciiTheme="minorHAnsi" w:hAnsiTheme="minorHAnsi" w:cstheme="minorHAnsi"/>
                <w:sz w:val="24"/>
                <w:szCs w:val="24"/>
              </w:rPr>
              <w:t>T</w:t>
            </w:r>
            <w:r w:rsidRPr="002D7A1E">
              <w:rPr>
                <w:rFonts w:asciiTheme="minorHAnsi" w:hAnsiTheme="minorHAnsi" w:cstheme="minorHAnsi"/>
                <w:sz w:val="24"/>
                <w:szCs w:val="24"/>
              </w:rPr>
              <w:t>raditional SMSFs don’t allow or enable this passing of control.</w:t>
            </w:r>
          </w:p>
          <w:p w14:paraId="76972FCF" w14:textId="143E6376" w:rsidR="002D7A1E" w:rsidRPr="002D7A1E" w:rsidRDefault="002D7A1E" w:rsidP="002D7A1E">
            <w:pPr>
              <w:pStyle w:val="BulletList"/>
              <w:numPr>
                <w:ilvl w:val="0"/>
                <w:numId w:val="15"/>
              </w:numPr>
              <w:spacing w:before="0" w:after="120"/>
              <w:rPr>
                <w:rFonts w:asciiTheme="minorHAnsi" w:hAnsiTheme="minorHAnsi" w:cstheme="minorHAnsi"/>
                <w:sz w:val="24"/>
                <w:szCs w:val="24"/>
              </w:rPr>
            </w:pPr>
            <w:r w:rsidRPr="002D7A1E">
              <w:rPr>
                <w:rFonts w:asciiTheme="minorHAnsi" w:hAnsiTheme="minorHAnsi" w:cstheme="minorHAnsi"/>
                <w:sz w:val="24"/>
                <w:szCs w:val="24"/>
              </w:rPr>
              <w:t>Likewise</w:t>
            </w:r>
            <w:r>
              <w:rPr>
                <w:rFonts w:asciiTheme="minorHAnsi" w:hAnsiTheme="minorHAnsi" w:cstheme="minorHAnsi"/>
                <w:sz w:val="24"/>
                <w:szCs w:val="24"/>
              </w:rPr>
              <w:t>,</w:t>
            </w:r>
            <w:r w:rsidRPr="002D7A1E">
              <w:rPr>
                <w:rFonts w:asciiTheme="minorHAnsi" w:hAnsiTheme="minorHAnsi" w:cstheme="minorHAnsi"/>
                <w:sz w:val="24"/>
                <w:szCs w:val="24"/>
              </w:rPr>
              <w:t xml:space="preserve"> many senior members of a family resist younger family members coming into the Fund for fear of losing control.  This is not the case with the Leading Member SMSF.</w:t>
            </w:r>
          </w:p>
          <w:p w14:paraId="211203CC" w14:textId="77777777" w:rsidR="002D7A1E" w:rsidRPr="002D7A1E" w:rsidRDefault="002D7A1E" w:rsidP="002D7A1E">
            <w:pPr>
              <w:pStyle w:val="BulletList"/>
              <w:numPr>
                <w:ilvl w:val="0"/>
                <w:numId w:val="0"/>
              </w:numPr>
              <w:spacing w:before="0" w:after="120"/>
              <w:ind w:left="360" w:hanging="360"/>
              <w:rPr>
                <w:rFonts w:asciiTheme="minorHAnsi" w:hAnsiTheme="minorHAnsi" w:cstheme="minorHAnsi"/>
                <w:b/>
                <w:sz w:val="24"/>
                <w:szCs w:val="24"/>
              </w:rPr>
            </w:pPr>
            <w:r w:rsidRPr="002D7A1E">
              <w:rPr>
                <w:rFonts w:asciiTheme="minorHAnsi" w:hAnsiTheme="minorHAnsi" w:cstheme="minorHAnsi"/>
                <w:b/>
                <w:sz w:val="24"/>
                <w:szCs w:val="24"/>
              </w:rPr>
              <w:t>Control of estate planning</w:t>
            </w:r>
          </w:p>
          <w:p w14:paraId="4B287CA7" w14:textId="77777777" w:rsidR="002D7A1E" w:rsidRPr="002D7A1E" w:rsidRDefault="002D7A1E" w:rsidP="002D7A1E">
            <w:pPr>
              <w:pStyle w:val="BulletList"/>
              <w:numPr>
                <w:ilvl w:val="0"/>
                <w:numId w:val="15"/>
              </w:numPr>
              <w:spacing w:before="0" w:after="120"/>
              <w:rPr>
                <w:rFonts w:asciiTheme="minorHAnsi" w:hAnsiTheme="minorHAnsi" w:cstheme="minorHAnsi"/>
                <w:sz w:val="24"/>
                <w:szCs w:val="24"/>
              </w:rPr>
            </w:pPr>
            <w:r w:rsidRPr="002D7A1E">
              <w:rPr>
                <w:rFonts w:asciiTheme="minorHAnsi" w:hAnsiTheme="minorHAnsi" w:cstheme="minorHAnsi"/>
                <w:sz w:val="24"/>
                <w:szCs w:val="24"/>
              </w:rPr>
              <w:t>The passing of death benefits from a superannuation fund often goes to the deceased member’s estate which raises a problem of legal challenges under various State succession laws.  The best method of passing death benefits without legal challenge is directly from a SMSF by way of lump sum or pension, depending on legal availability.  With a Leading Member SMSF the benefit is the set of tools and resources enabling members to limit access to their superannuation benefits on their death to their lineage only.</w:t>
            </w:r>
          </w:p>
          <w:p w14:paraId="6B4300CF" w14:textId="77777777" w:rsidR="002D7A1E" w:rsidRPr="002D7A1E" w:rsidRDefault="002D7A1E" w:rsidP="002D7A1E">
            <w:pPr>
              <w:pStyle w:val="BulletList"/>
              <w:numPr>
                <w:ilvl w:val="0"/>
                <w:numId w:val="0"/>
              </w:numPr>
              <w:spacing w:before="0" w:after="120"/>
              <w:ind w:left="360" w:hanging="360"/>
              <w:rPr>
                <w:rFonts w:asciiTheme="minorHAnsi" w:hAnsiTheme="minorHAnsi" w:cstheme="minorHAnsi"/>
                <w:b/>
                <w:sz w:val="24"/>
                <w:szCs w:val="24"/>
              </w:rPr>
            </w:pPr>
            <w:r w:rsidRPr="002D7A1E">
              <w:rPr>
                <w:rFonts w:asciiTheme="minorHAnsi" w:hAnsiTheme="minorHAnsi" w:cstheme="minorHAnsi"/>
                <w:b/>
                <w:sz w:val="24"/>
                <w:szCs w:val="24"/>
              </w:rPr>
              <w:t>Control of Member Incapacity</w:t>
            </w:r>
          </w:p>
          <w:p w14:paraId="6E612700" w14:textId="3E84DD8D" w:rsidR="00E75AEF" w:rsidRPr="002D7A1E" w:rsidRDefault="002D7A1E" w:rsidP="002D7A1E">
            <w:pPr>
              <w:pStyle w:val="BulletList"/>
              <w:numPr>
                <w:ilvl w:val="0"/>
                <w:numId w:val="15"/>
              </w:numPr>
              <w:spacing w:before="0" w:after="120"/>
              <w:rPr>
                <w:rFonts w:asciiTheme="minorHAnsi" w:hAnsiTheme="minorHAnsi" w:cstheme="minorHAnsi"/>
                <w:sz w:val="24"/>
                <w:szCs w:val="24"/>
              </w:rPr>
            </w:pPr>
            <w:r w:rsidRPr="002D7A1E">
              <w:rPr>
                <w:rFonts w:asciiTheme="minorHAnsi" w:hAnsiTheme="minorHAnsi" w:cstheme="minorHAnsi"/>
                <w:sz w:val="24"/>
                <w:szCs w:val="24"/>
              </w:rPr>
              <w:t>Ideally if a member becomes incapacitated, either physically or mentally, the Trustee of the Fund</w:t>
            </w:r>
            <w:r>
              <w:rPr>
                <w:rFonts w:asciiTheme="minorHAnsi" w:hAnsiTheme="minorHAnsi" w:cstheme="minorHAnsi"/>
                <w:sz w:val="24"/>
                <w:szCs w:val="24"/>
              </w:rPr>
              <w:t xml:space="preserve"> (by way of the Leading Member) </w:t>
            </w:r>
            <w:r w:rsidRPr="002D7A1E">
              <w:rPr>
                <w:rFonts w:asciiTheme="minorHAnsi" w:hAnsiTheme="minorHAnsi" w:cstheme="minorHAnsi"/>
                <w:sz w:val="24"/>
                <w:szCs w:val="24"/>
              </w:rPr>
              <w:t xml:space="preserve">will put in place a plan to look after the member </w:t>
            </w:r>
            <w:r w:rsidRPr="002D7A1E">
              <w:rPr>
                <w:rFonts w:asciiTheme="minorHAnsi" w:hAnsiTheme="minorHAnsi" w:cstheme="minorHAnsi"/>
                <w:sz w:val="24"/>
                <w:szCs w:val="24"/>
              </w:rPr>
              <w:lastRenderedPageBreak/>
              <w:t xml:space="preserve">using their superannuation benefits and in some cases the resources of the Fund.  </w:t>
            </w:r>
          </w:p>
        </w:tc>
      </w:tr>
      <w:tr w:rsidR="00E75AEF" w:rsidRPr="002F76CA" w14:paraId="64561D84" w14:textId="77777777" w:rsidTr="007D4D30">
        <w:trPr>
          <w:trHeight w:val="23"/>
        </w:trPr>
        <w:tc>
          <w:tcPr>
            <w:tcW w:w="2400" w:type="dxa"/>
            <w:tcBorders>
              <w:top w:val="single" w:sz="4" w:space="0" w:color="808080"/>
              <w:left w:val="single" w:sz="4" w:space="0" w:color="808080"/>
              <w:bottom w:val="single" w:sz="4" w:space="0" w:color="808080"/>
            </w:tcBorders>
            <w:shd w:val="clear" w:color="auto" w:fill="DCDFDF"/>
            <w:vAlign w:val="center"/>
          </w:tcPr>
          <w:p w14:paraId="4DD18494" w14:textId="71653434" w:rsidR="00E75AEF" w:rsidRPr="00E75AEF" w:rsidRDefault="00E75AEF" w:rsidP="007D4D30">
            <w:pPr>
              <w:spacing w:after="0"/>
              <w:rPr>
                <w:rFonts w:eastAsia="Wingdings" w:cstheme="minorHAnsi"/>
                <w:color w:val="002E62"/>
                <w:szCs w:val="24"/>
              </w:rPr>
            </w:pPr>
            <w:r w:rsidRPr="00E75AEF">
              <w:rPr>
                <w:rFonts w:cstheme="minorHAnsi"/>
                <w:szCs w:val="24"/>
              </w:rPr>
              <w:lastRenderedPageBreak/>
              <w:t xml:space="preserve">Risks or consequences of </w:t>
            </w:r>
            <w:r>
              <w:rPr>
                <w:rFonts w:cstheme="minorHAnsi"/>
                <w:szCs w:val="24"/>
              </w:rPr>
              <w:t>the Leading Member Structure</w:t>
            </w:r>
          </w:p>
        </w:tc>
        <w:tc>
          <w:tcPr>
            <w:tcW w:w="681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5EB6A4F" w14:textId="34F0ACB0" w:rsidR="00A85C41" w:rsidRPr="00A85C41" w:rsidRDefault="00A85C41" w:rsidP="00A85C41">
            <w:pPr>
              <w:pStyle w:val="BulletList"/>
              <w:numPr>
                <w:ilvl w:val="0"/>
                <w:numId w:val="0"/>
              </w:numPr>
              <w:spacing w:before="120" w:after="120"/>
              <w:ind w:left="360" w:hanging="360"/>
              <w:rPr>
                <w:rFonts w:asciiTheme="minorHAnsi" w:hAnsiTheme="minorHAnsi" w:cstheme="minorHAnsi"/>
                <w:b/>
                <w:sz w:val="24"/>
                <w:szCs w:val="24"/>
              </w:rPr>
            </w:pPr>
            <w:r w:rsidRPr="00A85C41">
              <w:rPr>
                <w:rFonts w:asciiTheme="minorHAnsi" w:hAnsiTheme="minorHAnsi" w:cstheme="minorHAnsi"/>
                <w:b/>
                <w:sz w:val="24"/>
                <w:szCs w:val="24"/>
              </w:rPr>
              <w:t>The Leading Member controls</w:t>
            </w:r>
          </w:p>
          <w:p w14:paraId="535A1EE8" w14:textId="6EFD4FF8" w:rsidR="00A85C41" w:rsidRPr="00A85C41" w:rsidRDefault="00A85C41" w:rsidP="00A85C41">
            <w:pPr>
              <w:pStyle w:val="BulletList"/>
              <w:numPr>
                <w:ilvl w:val="0"/>
                <w:numId w:val="15"/>
              </w:numPr>
              <w:spacing w:before="0" w:after="120"/>
              <w:rPr>
                <w:rFonts w:asciiTheme="minorHAnsi" w:hAnsiTheme="minorHAnsi" w:cstheme="minorHAnsi"/>
                <w:sz w:val="24"/>
                <w:szCs w:val="24"/>
              </w:rPr>
            </w:pPr>
            <w:r w:rsidRPr="00A85C41">
              <w:rPr>
                <w:rFonts w:asciiTheme="minorHAnsi" w:hAnsiTheme="minorHAnsi" w:cstheme="minorHAnsi"/>
                <w:sz w:val="24"/>
                <w:szCs w:val="24"/>
              </w:rPr>
              <w:t>Ultimately the Leading Member controls the Fund and all members are subject to appointment and removal by the Leading Member. Of course, the superannuation and trustee laws require that the Leading Member must act on behalf of all members.  However, where the member may be subject to a legal dispute or a family law action, which may jeopardise the Fund, the Leading Member has the power to determine the current value of the Member’s benefits and pay these out on termination.</w:t>
            </w:r>
          </w:p>
          <w:p w14:paraId="43608BB0" w14:textId="77777777" w:rsidR="00A85C41" w:rsidRPr="00A85C41" w:rsidRDefault="00A85C41" w:rsidP="00A85C41">
            <w:pPr>
              <w:pStyle w:val="BulletList"/>
              <w:numPr>
                <w:ilvl w:val="0"/>
                <w:numId w:val="0"/>
              </w:numPr>
              <w:spacing w:before="0" w:after="120"/>
              <w:ind w:left="360" w:hanging="360"/>
              <w:rPr>
                <w:rFonts w:asciiTheme="minorHAnsi" w:hAnsiTheme="minorHAnsi" w:cstheme="minorHAnsi"/>
                <w:b/>
                <w:sz w:val="24"/>
                <w:szCs w:val="24"/>
              </w:rPr>
            </w:pPr>
            <w:r w:rsidRPr="00A85C41">
              <w:rPr>
                <w:rFonts w:asciiTheme="minorHAnsi" w:hAnsiTheme="minorHAnsi" w:cstheme="minorHAnsi"/>
                <w:b/>
                <w:sz w:val="24"/>
                <w:szCs w:val="24"/>
              </w:rPr>
              <w:t>Knowing the Leading Member</w:t>
            </w:r>
          </w:p>
          <w:p w14:paraId="774D1CC8" w14:textId="0EE1C76C" w:rsidR="00E75AEF" w:rsidRPr="00A85C41" w:rsidRDefault="00A85C41" w:rsidP="00A85C41">
            <w:pPr>
              <w:pStyle w:val="BulletList"/>
              <w:numPr>
                <w:ilvl w:val="0"/>
                <w:numId w:val="15"/>
              </w:numPr>
              <w:spacing w:before="0" w:after="120"/>
              <w:rPr>
                <w:rFonts w:asciiTheme="minorHAnsi" w:hAnsiTheme="minorHAnsi" w:cstheme="minorHAnsi"/>
                <w:sz w:val="24"/>
                <w:szCs w:val="24"/>
              </w:rPr>
            </w:pPr>
            <w:r w:rsidRPr="00A85C41">
              <w:rPr>
                <w:rFonts w:asciiTheme="minorHAnsi" w:hAnsiTheme="minorHAnsi" w:cstheme="minorHAnsi"/>
                <w:sz w:val="24"/>
                <w:szCs w:val="24"/>
              </w:rPr>
              <w:t>Before joining a Leading Member SMSF a prospective member should discuss with the Leading Member their rights and entitlements and be comfortable with how the Leading Member is to run the fund.</w:t>
            </w:r>
          </w:p>
        </w:tc>
      </w:tr>
      <w:tr w:rsidR="00E75AEF" w:rsidRPr="002F76CA" w14:paraId="750B89EA" w14:textId="77777777" w:rsidTr="007D4D30">
        <w:trPr>
          <w:trHeight w:val="23"/>
        </w:trPr>
        <w:tc>
          <w:tcPr>
            <w:tcW w:w="2400" w:type="dxa"/>
            <w:tcBorders>
              <w:top w:val="single" w:sz="4" w:space="0" w:color="808080"/>
              <w:left w:val="single" w:sz="4" w:space="0" w:color="808080"/>
              <w:bottom w:val="single" w:sz="4" w:space="0" w:color="808080"/>
            </w:tcBorders>
            <w:shd w:val="clear" w:color="auto" w:fill="DCDFDF"/>
            <w:vAlign w:val="center"/>
          </w:tcPr>
          <w:p w14:paraId="56B72A57" w14:textId="77777777" w:rsidR="00E75AEF" w:rsidRPr="00E75AEF" w:rsidRDefault="00E75AEF" w:rsidP="007D4D30">
            <w:pPr>
              <w:spacing w:after="0"/>
              <w:rPr>
                <w:rFonts w:eastAsia="Wingdings" w:cstheme="minorHAnsi"/>
                <w:color w:val="002E62"/>
                <w:szCs w:val="24"/>
              </w:rPr>
            </w:pPr>
            <w:r w:rsidRPr="00E75AEF">
              <w:rPr>
                <w:rFonts w:cstheme="minorHAnsi"/>
                <w:szCs w:val="24"/>
              </w:rPr>
              <w:t>Alternative strategies</w:t>
            </w:r>
          </w:p>
        </w:tc>
        <w:tc>
          <w:tcPr>
            <w:tcW w:w="681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BE04032" w14:textId="76ED9C60" w:rsidR="00E75AEF" w:rsidRPr="00E75AEF" w:rsidRDefault="00A85C41" w:rsidP="00A85C41">
            <w:pPr>
              <w:pStyle w:val="BulletList"/>
              <w:numPr>
                <w:ilvl w:val="0"/>
                <w:numId w:val="15"/>
              </w:numPr>
              <w:spacing w:before="120" w:after="120"/>
              <w:rPr>
                <w:rFonts w:asciiTheme="minorHAnsi" w:hAnsiTheme="minorHAnsi" w:cstheme="minorHAnsi"/>
                <w:sz w:val="24"/>
                <w:szCs w:val="24"/>
              </w:rPr>
            </w:pPr>
            <w:r>
              <w:rPr>
                <w:rFonts w:asciiTheme="minorHAnsi" w:hAnsiTheme="minorHAnsi" w:cstheme="minorHAnsi"/>
                <w:sz w:val="24"/>
                <w:szCs w:val="24"/>
              </w:rPr>
              <w:t>Retain your existing SMSF stricture however this does not limit</w:t>
            </w:r>
            <w:r w:rsidRPr="00A85C41">
              <w:rPr>
                <w:rFonts w:asciiTheme="minorHAnsi" w:hAnsiTheme="minorHAnsi" w:cstheme="minorHAnsi"/>
                <w:sz w:val="24"/>
                <w:szCs w:val="24"/>
              </w:rPr>
              <w:t xml:space="preserve"> Trustees and Members to lineal descendants via the use of a Leading Member.</w:t>
            </w:r>
          </w:p>
        </w:tc>
      </w:tr>
      <w:tr w:rsidR="00E75AEF" w:rsidRPr="002F76CA" w14:paraId="16F5D53E" w14:textId="77777777" w:rsidTr="007D4D30">
        <w:trPr>
          <w:trHeight w:val="23"/>
        </w:trPr>
        <w:tc>
          <w:tcPr>
            <w:tcW w:w="2400" w:type="dxa"/>
            <w:tcBorders>
              <w:top w:val="single" w:sz="4" w:space="0" w:color="808080"/>
              <w:left w:val="single" w:sz="4" w:space="0" w:color="808080"/>
              <w:bottom w:val="single" w:sz="4" w:space="0" w:color="808080"/>
            </w:tcBorders>
            <w:shd w:val="clear" w:color="auto" w:fill="DCDFDF"/>
            <w:vAlign w:val="center"/>
          </w:tcPr>
          <w:p w14:paraId="56B6C859" w14:textId="77777777" w:rsidR="00E75AEF" w:rsidRPr="00E75AEF" w:rsidRDefault="00E75AEF" w:rsidP="007D4D30">
            <w:pPr>
              <w:spacing w:after="0"/>
              <w:rPr>
                <w:rFonts w:eastAsia="Wingdings" w:cstheme="minorHAnsi"/>
                <w:color w:val="002E62"/>
                <w:szCs w:val="24"/>
              </w:rPr>
            </w:pPr>
            <w:r w:rsidRPr="00E75AEF">
              <w:rPr>
                <w:rFonts w:cstheme="minorHAnsi"/>
                <w:szCs w:val="24"/>
              </w:rPr>
              <w:t>Other considerations</w:t>
            </w:r>
          </w:p>
        </w:tc>
        <w:tc>
          <w:tcPr>
            <w:tcW w:w="681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96B18F5" w14:textId="0CA9288D" w:rsidR="002D7A1E" w:rsidRPr="00A85C41" w:rsidRDefault="002D7A1E" w:rsidP="00A85C41">
            <w:pPr>
              <w:pStyle w:val="BulletList"/>
              <w:numPr>
                <w:ilvl w:val="0"/>
                <w:numId w:val="15"/>
              </w:numPr>
              <w:spacing w:before="120" w:after="120"/>
              <w:rPr>
                <w:rFonts w:asciiTheme="minorHAnsi" w:hAnsiTheme="minorHAnsi" w:cstheme="minorHAnsi"/>
                <w:sz w:val="24"/>
                <w:szCs w:val="24"/>
              </w:rPr>
            </w:pPr>
            <w:r w:rsidRPr="00A85C41">
              <w:rPr>
                <w:rFonts w:asciiTheme="minorHAnsi" w:hAnsiTheme="minorHAnsi" w:cstheme="minorHAnsi"/>
                <w:sz w:val="24"/>
                <w:szCs w:val="24"/>
              </w:rPr>
              <w:t>The replacement of the Substituted Governing Rules, with the Replacement Governing Rules, does not constitute a resettlement of the Fund at law, equity or under any Superannuation Law.</w:t>
            </w:r>
          </w:p>
          <w:p w14:paraId="310D1701" w14:textId="77777777" w:rsidR="00E75AEF" w:rsidRPr="00A85C41" w:rsidRDefault="002D7A1E" w:rsidP="00A85C41">
            <w:pPr>
              <w:pStyle w:val="BulletList"/>
              <w:numPr>
                <w:ilvl w:val="0"/>
                <w:numId w:val="15"/>
              </w:numPr>
              <w:spacing w:before="0" w:after="120"/>
              <w:rPr>
                <w:rFonts w:asciiTheme="minorHAnsi" w:hAnsiTheme="minorHAnsi" w:cstheme="minorHAnsi"/>
                <w:sz w:val="24"/>
                <w:szCs w:val="24"/>
              </w:rPr>
            </w:pPr>
            <w:r w:rsidRPr="002D7A1E">
              <w:rPr>
                <w:rFonts w:asciiTheme="minorHAnsi" w:hAnsiTheme="minorHAnsi" w:cstheme="minorHAnsi"/>
                <w:sz w:val="24"/>
                <w:szCs w:val="24"/>
              </w:rPr>
              <w:t>To provide absolute certainty a member may want to complete a set of Binding Incapacity Benefit Directions which provides a set of binding directions on the Trustee as to how an incapacitated member’s benefits are best to be deployed.</w:t>
            </w:r>
          </w:p>
          <w:p w14:paraId="3D30DF5D" w14:textId="3FF27247" w:rsidR="002D7A1E" w:rsidRPr="00E75AEF" w:rsidRDefault="002D7A1E" w:rsidP="00A85C41">
            <w:pPr>
              <w:pStyle w:val="BulletList"/>
              <w:numPr>
                <w:ilvl w:val="0"/>
                <w:numId w:val="15"/>
              </w:numPr>
              <w:spacing w:before="0" w:after="120"/>
            </w:pPr>
            <w:r w:rsidRPr="00A85C41">
              <w:rPr>
                <w:rFonts w:asciiTheme="minorHAnsi" w:hAnsiTheme="minorHAnsi" w:cstheme="minorHAnsi"/>
                <w:sz w:val="24"/>
                <w:szCs w:val="24"/>
              </w:rPr>
              <w:t xml:space="preserve">The Substituted Governing Rules of the Fund are replaced in their entirety with the Replacement Governing Rules </w:t>
            </w:r>
            <w:r w:rsidR="00A85C41" w:rsidRPr="00A85C41">
              <w:rPr>
                <w:rFonts w:asciiTheme="minorHAnsi" w:hAnsiTheme="minorHAnsi" w:cstheme="minorHAnsi"/>
                <w:sz w:val="24"/>
                <w:szCs w:val="24"/>
              </w:rPr>
              <w:t>f</w:t>
            </w:r>
            <w:r w:rsidR="00A85C41">
              <w:rPr>
                <w:rFonts w:asciiTheme="minorHAnsi" w:hAnsiTheme="minorHAnsi" w:cstheme="minorHAnsi"/>
                <w:sz w:val="24"/>
                <w:szCs w:val="24"/>
              </w:rPr>
              <w:t>o</w:t>
            </w:r>
            <w:r w:rsidR="00A85C41" w:rsidRPr="00A85C41">
              <w:rPr>
                <w:rFonts w:asciiTheme="minorHAnsi" w:hAnsiTheme="minorHAnsi" w:cstheme="minorHAnsi"/>
                <w:sz w:val="24"/>
                <w:szCs w:val="24"/>
              </w:rPr>
              <w:t>r the new Leading Member SMSF structure</w:t>
            </w:r>
            <w:r w:rsidRPr="00A85C41">
              <w:rPr>
                <w:rFonts w:asciiTheme="minorHAnsi" w:hAnsiTheme="minorHAnsi" w:cstheme="minorHAnsi"/>
                <w:sz w:val="24"/>
                <w:szCs w:val="24"/>
              </w:rPr>
              <w:t xml:space="preserve">, pursuant to Rule </w:t>
            </w:r>
            <w:r w:rsidR="00A85C41" w:rsidRPr="00A85C41">
              <w:rPr>
                <w:rFonts w:asciiTheme="minorHAnsi" w:hAnsiTheme="minorHAnsi" w:cstheme="minorHAnsi"/>
                <w:sz w:val="24"/>
                <w:szCs w:val="24"/>
                <w:highlight w:val="yellow"/>
              </w:rPr>
              <w:t>&lt;insert existing variation rule number&gt;</w:t>
            </w:r>
            <w:r w:rsidRPr="00A85C41">
              <w:rPr>
                <w:rFonts w:asciiTheme="minorHAnsi" w:hAnsiTheme="minorHAnsi" w:cstheme="minorHAnsi"/>
                <w:sz w:val="24"/>
                <w:szCs w:val="24"/>
              </w:rPr>
              <w:t xml:space="preserve"> of the Substituted Governing Rules.</w:t>
            </w:r>
          </w:p>
        </w:tc>
      </w:tr>
    </w:tbl>
    <w:p w14:paraId="511A2216" w14:textId="77777777" w:rsidR="00345050" w:rsidRPr="002F76CA" w:rsidRDefault="00345050" w:rsidP="00E75AEF">
      <w:pPr>
        <w:pStyle w:val="BulletList"/>
        <w:numPr>
          <w:ilvl w:val="0"/>
          <w:numId w:val="0"/>
        </w:numPr>
        <w:spacing w:before="0" w:after="120"/>
        <w:rPr>
          <w:rFonts w:asciiTheme="minorHAnsi" w:hAnsiTheme="minorHAnsi" w:cstheme="minorHAnsi"/>
          <w:color w:val="auto"/>
          <w:sz w:val="24"/>
          <w:szCs w:val="24"/>
        </w:rPr>
      </w:pPr>
    </w:p>
    <w:p w14:paraId="2E8EE968" w14:textId="1BDD10D2" w:rsidR="0092759E" w:rsidRPr="0092759E" w:rsidRDefault="004411A0" w:rsidP="0092759E">
      <w:pPr>
        <w:spacing w:after="120" w:line="240" w:lineRule="auto"/>
        <w:jc w:val="both"/>
      </w:pPr>
      <w:r>
        <w:t xml:space="preserve"> </w:t>
      </w:r>
      <w:r w:rsidR="0092759E" w:rsidRPr="004411A0">
        <w:rPr>
          <w:rFonts w:ascii="Calibri" w:hAnsi="Calibri"/>
          <w:color w:val="FF0000"/>
          <w:sz w:val="20"/>
        </w:rPr>
        <w:t>&lt;</w:t>
      </w:r>
      <w:r w:rsidR="0092759E">
        <w:rPr>
          <w:rFonts w:ascii="Calibri" w:hAnsi="Calibri"/>
          <w:color w:val="FF0000"/>
          <w:sz w:val="20"/>
        </w:rPr>
        <w:t>END</w:t>
      </w:r>
      <w:r w:rsidR="0092759E" w:rsidRPr="004411A0">
        <w:rPr>
          <w:rFonts w:ascii="Calibri" w:hAnsi="Calibri"/>
          <w:color w:val="FF0000"/>
          <w:sz w:val="20"/>
        </w:rPr>
        <w:t xml:space="preserve"> INSERT TEXT&gt;</w:t>
      </w:r>
    </w:p>
    <w:p w14:paraId="427E6BB8" w14:textId="77777777" w:rsidR="004411A0" w:rsidRDefault="004411A0" w:rsidP="00E75AEF">
      <w:pPr>
        <w:spacing w:after="120" w:line="240" w:lineRule="auto"/>
        <w:jc w:val="both"/>
      </w:pPr>
    </w:p>
    <w:sectPr w:rsidR="004411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altName w:val="Corbel"/>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F0F95"/>
    <w:multiLevelType w:val="hybridMultilevel"/>
    <w:tmpl w:val="F1282C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544FFC"/>
    <w:multiLevelType w:val="multilevel"/>
    <w:tmpl w:val="2944961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C307289"/>
    <w:multiLevelType w:val="hybridMultilevel"/>
    <w:tmpl w:val="A1886662"/>
    <w:lvl w:ilvl="0" w:tplc="D53ABE20">
      <w:start w:val="1"/>
      <w:numFmt w:val="bullet"/>
      <w:lvlText w:val=""/>
      <w:lvlJc w:val="left"/>
      <w:pPr>
        <w:ind w:left="1080" w:hanging="360"/>
      </w:pPr>
      <w:rPr>
        <w:rFonts w:ascii="Symbol" w:hAnsi="Symbol" w:hint="default"/>
        <w:color w:val="003366"/>
        <w:sz w:val="20"/>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2FEB1669"/>
    <w:multiLevelType w:val="hybridMultilevel"/>
    <w:tmpl w:val="56D6C09A"/>
    <w:lvl w:ilvl="0" w:tplc="5F04823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2425435"/>
    <w:multiLevelType w:val="multilevel"/>
    <w:tmpl w:val="D7CAE58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F7650C5"/>
    <w:multiLevelType w:val="multilevel"/>
    <w:tmpl w:val="CCB02A0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1491599"/>
    <w:multiLevelType w:val="hybridMultilevel"/>
    <w:tmpl w:val="8B12B396"/>
    <w:lvl w:ilvl="0" w:tplc="0C09000F">
      <w:start w:val="1"/>
      <w:numFmt w:val="decimal"/>
      <w:lvlText w:val="%1."/>
      <w:lvlJc w:val="left"/>
      <w:pPr>
        <w:ind w:left="720" w:hanging="360"/>
      </w:pPr>
    </w:lvl>
    <w:lvl w:ilvl="1" w:tplc="30440696">
      <w:start w:val="1"/>
      <w:numFmt w:val="decimal"/>
      <w:lvlText w:val="%2)"/>
      <w:lvlJc w:val="left"/>
      <w:pPr>
        <w:ind w:left="1493" w:hanging="413"/>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66D5E6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F8F7E98"/>
    <w:multiLevelType w:val="multilevel"/>
    <w:tmpl w:val="E34676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7664EDB"/>
    <w:multiLevelType w:val="multilevel"/>
    <w:tmpl w:val="CCB02A0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AEF680D"/>
    <w:multiLevelType w:val="hybridMultilevel"/>
    <w:tmpl w:val="027228EC"/>
    <w:lvl w:ilvl="0" w:tplc="7700A658">
      <w:start w:val="1"/>
      <w:numFmt w:val="bullet"/>
      <w:pStyle w:val="BulletList"/>
      <w:lvlText w:val=""/>
      <w:lvlJc w:val="left"/>
      <w:pPr>
        <w:ind w:left="360" w:hanging="360"/>
      </w:pPr>
      <w:rPr>
        <w:rFonts w:ascii="Symbol" w:hAnsi="Symbol" w:hint="default"/>
        <w:color w:val="003366"/>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CA34250"/>
    <w:multiLevelType w:val="hybridMultilevel"/>
    <w:tmpl w:val="8946A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695B13"/>
    <w:multiLevelType w:val="hybridMultilevel"/>
    <w:tmpl w:val="69F65E82"/>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0"/>
  </w:num>
  <w:num w:numId="4">
    <w:abstractNumId w:val="7"/>
  </w:num>
  <w:num w:numId="5">
    <w:abstractNumId w:val="9"/>
  </w:num>
  <w:num w:numId="6">
    <w:abstractNumId w:val="11"/>
  </w:num>
  <w:num w:numId="7">
    <w:abstractNumId w:val="5"/>
  </w:num>
  <w:num w:numId="8">
    <w:abstractNumId w:val="10"/>
  </w:num>
  <w:num w:numId="9">
    <w:abstractNumId w:val="10"/>
  </w:num>
  <w:num w:numId="10">
    <w:abstractNumId w:val="8"/>
  </w:num>
  <w:num w:numId="11">
    <w:abstractNumId w:val="10"/>
  </w:num>
  <w:num w:numId="12">
    <w:abstractNumId w:val="4"/>
  </w:num>
  <w:num w:numId="13">
    <w:abstractNumId w:val="10"/>
  </w:num>
  <w:num w:numId="14">
    <w:abstractNumId w:val="12"/>
  </w:num>
  <w:num w:numId="15">
    <w:abstractNumId w:val="0"/>
  </w:num>
  <w:num w:numId="16">
    <w:abstractNumId w:val="10"/>
  </w:num>
  <w:num w:numId="17">
    <w:abstractNumId w:val="10"/>
  </w:num>
  <w:num w:numId="18">
    <w:abstractNumId w:val="10"/>
  </w:num>
  <w:num w:numId="19">
    <w:abstractNumId w:val="3"/>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2E"/>
    <w:rsid w:val="000E5C91"/>
    <w:rsid w:val="00123223"/>
    <w:rsid w:val="001B3244"/>
    <w:rsid w:val="002D7A1E"/>
    <w:rsid w:val="00345050"/>
    <w:rsid w:val="0043745D"/>
    <w:rsid w:val="004411A0"/>
    <w:rsid w:val="004C4051"/>
    <w:rsid w:val="00541F7A"/>
    <w:rsid w:val="005F4527"/>
    <w:rsid w:val="00600426"/>
    <w:rsid w:val="00780BE7"/>
    <w:rsid w:val="00792900"/>
    <w:rsid w:val="008C63F7"/>
    <w:rsid w:val="009035C7"/>
    <w:rsid w:val="0092759E"/>
    <w:rsid w:val="00A01658"/>
    <w:rsid w:val="00A85C41"/>
    <w:rsid w:val="00BA27F0"/>
    <w:rsid w:val="00C23C9A"/>
    <w:rsid w:val="00E0702E"/>
    <w:rsid w:val="00E75AEF"/>
    <w:rsid w:val="00F41C94"/>
    <w:rsid w:val="00F778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B5B48"/>
  <w15:chartTrackingRefBased/>
  <w15:docId w15:val="{1229CCA9-689D-4AB3-B08F-EAD00E2CB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02E"/>
    <w:rPr>
      <w:sz w:val="24"/>
    </w:rPr>
  </w:style>
  <w:style w:type="paragraph" w:styleId="Heading2">
    <w:name w:val="heading 2"/>
    <w:basedOn w:val="Normal"/>
    <w:next w:val="Normal"/>
    <w:link w:val="Heading2Char"/>
    <w:qFormat/>
    <w:rsid w:val="00E0702E"/>
    <w:pPr>
      <w:keepNext/>
      <w:keepLines/>
      <w:suppressAutoHyphens/>
      <w:spacing w:before="240" w:after="120" w:line="240" w:lineRule="auto"/>
      <w:outlineLvl w:val="1"/>
    </w:pPr>
    <w:rPr>
      <w:rFonts w:ascii="Franklin Gothic Book" w:eastAsia="Times New Roman" w:hAnsi="Franklin Gothic Book" w:cs="Franklin Gothic Book"/>
      <w:bCs/>
      <w:color w:val="003366"/>
      <w:spacing w:val="-10"/>
      <w:sz w:val="28"/>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P2">
    <w:name w:val="Legal P2"/>
    <w:basedOn w:val="Normal"/>
    <w:qFormat/>
    <w:rsid w:val="00E0702E"/>
    <w:pPr>
      <w:spacing w:after="20" w:line="240" w:lineRule="auto"/>
      <w:jc w:val="both"/>
    </w:pPr>
    <w:rPr>
      <w:rFonts w:eastAsia="Calibri" w:cs="Times New Roman"/>
      <w:szCs w:val="20"/>
      <w:lang w:val="en-GB"/>
    </w:rPr>
  </w:style>
  <w:style w:type="paragraph" w:styleId="Title">
    <w:name w:val="Title"/>
    <w:link w:val="TitleChar"/>
    <w:uiPriority w:val="10"/>
    <w:qFormat/>
    <w:rsid w:val="00E0702E"/>
    <w:pPr>
      <w:spacing w:after="0" w:line="240" w:lineRule="auto"/>
      <w:contextualSpacing/>
    </w:pPr>
    <w:rPr>
      <w:rFonts w:asciiTheme="majorHAnsi" w:eastAsiaTheme="majorEastAsia" w:hAnsiTheme="majorHAnsi" w:cstheme="majorBidi"/>
      <w:b/>
      <w:spacing w:val="-10"/>
      <w:kern w:val="28"/>
      <w:sz w:val="76"/>
      <w:szCs w:val="56"/>
    </w:rPr>
  </w:style>
  <w:style w:type="character" w:customStyle="1" w:styleId="TitleChar">
    <w:name w:val="Title Char"/>
    <w:basedOn w:val="DefaultParagraphFont"/>
    <w:link w:val="Title"/>
    <w:uiPriority w:val="10"/>
    <w:rsid w:val="00E0702E"/>
    <w:rPr>
      <w:rFonts w:asciiTheme="majorHAnsi" w:eastAsiaTheme="majorEastAsia" w:hAnsiTheme="majorHAnsi" w:cstheme="majorBidi"/>
      <w:b/>
      <w:spacing w:val="-10"/>
      <w:kern w:val="28"/>
      <w:sz w:val="76"/>
      <w:szCs w:val="56"/>
    </w:rPr>
  </w:style>
  <w:style w:type="paragraph" w:customStyle="1" w:styleId="LegalH1">
    <w:name w:val="Legal H1"/>
    <w:qFormat/>
    <w:rsid w:val="00E0702E"/>
    <w:pPr>
      <w:spacing w:after="240" w:line="276" w:lineRule="auto"/>
    </w:pPr>
    <w:rPr>
      <w:rFonts w:asciiTheme="majorHAnsi" w:eastAsia="Calibri" w:hAnsiTheme="majorHAnsi" w:cs="Times New Roman"/>
      <w:b/>
      <w:sz w:val="76"/>
      <w:szCs w:val="28"/>
      <w:lang w:val="en-US"/>
    </w:rPr>
  </w:style>
  <w:style w:type="paragraph" w:customStyle="1" w:styleId="TitleSub">
    <w:name w:val="Title Sub"/>
    <w:basedOn w:val="Title"/>
    <w:link w:val="TitleSubChar"/>
    <w:rsid w:val="00E0702E"/>
    <w:rPr>
      <w:b w:val="0"/>
      <w:sz w:val="72"/>
      <w:szCs w:val="72"/>
    </w:rPr>
  </w:style>
  <w:style w:type="character" w:customStyle="1" w:styleId="TitleSubChar">
    <w:name w:val="Title Sub Char"/>
    <w:basedOn w:val="TitleChar"/>
    <w:link w:val="TitleSub"/>
    <w:rsid w:val="00E0702E"/>
    <w:rPr>
      <w:rFonts w:asciiTheme="majorHAnsi" w:eastAsiaTheme="majorEastAsia" w:hAnsiTheme="majorHAnsi" w:cstheme="majorBidi"/>
      <w:b w:val="0"/>
      <w:spacing w:val="-10"/>
      <w:kern w:val="28"/>
      <w:sz w:val="72"/>
      <w:szCs w:val="72"/>
    </w:rPr>
  </w:style>
  <w:style w:type="paragraph" w:styleId="TOC1">
    <w:name w:val="toc 1"/>
    <w:basedOn w:val="Normal"/>
    <w:next w:val="Normal"/>
    <w:autoRedefine/>
    <w:uiPriority w:val="39"/>
    <w:unhideWhenUsed/>
    <w:rsid w:val="00E0702E"/>
    <w:pPr>
      <w:spacing w:after="100"/>
    </w:pPr>
  </w:style>
  <w:style w:type="paragraph" w:styleId="ListParagraph">
    <w:name w:val="List Paragraph"/>
    <w:basedOn w:val="Normal"/>
    <w:uiPriority w:val="34"/>
    <w:qFormat/>
    <w:rsid w:val="00E0702E"/>
    <w:pPr>
      <w:ind w:left="720"/>
      <w:contextualSpacing/>
    </w:pPr>
  </w:style>
  <w:style w:type="character" w:customStyle="1" w:styleId="Heading2Char">
    <w:name w:val="Heading 2 Char"/>
    <w:basedOn w:val="DefaultParagraphFont"/>
    <w:link w:val="Heading2"/>
    <w:rsid w:val="00E0702E"/>
    <w:rPr>
      <w:rFonts w:ascii="Franklin Gothic Book" w:eastAsia="Times New Roman" w:hAnsi="Franklin Gothic Book" w:cs="Franklin Gothic Book"/>
      <w:bCs/>
      <w:color w:val="003366"/>
      <w:spacing w:val="-10"/>
      <w:sz w:val="28"/>
      <w:szCs w:val="26"/>
      <w:lang w:eastAsia="zh-CN"/>
    </w:rPr>
  </w:style>
  <w:style w:type="paragraph" w:customStyle="1" w:styleId="BulletList">
    <w:name w:val="Bullet List"/>
    <w:basedOn w:val="Normal"/>
    <w:link w:val="BulletListChar"/>
    <w:qFormat/>
    <w:rsid w:val="00E0702E"/>
    <w:pPr>
      <w:numPr>
        <w:numId w:val="3"/>
      </w:numPr>
      <w:suppressAutoHyphens/>
      <w:spacing w:before="60" w:after="60" w:line="240" w:lineRule="auto"/>
      <w:jc w:val="both"/>
    </w:pPr>
    <w:rPr>
      <w:rFonts w:ascii="Franklin Gothic Book" w:eastAsia="Calibri" w:hAnsi="Franklin Gothic Book" w:cs="Franklin Gothic Book"/>
      <w:color w:val="000000"/>
      <w:sz w:val="20"/>
      <w:szCs w:val="20"/>
      <w:lang w:eastAsia="zh-CN"/>
    </w:rPr>
  </w:style>
  <w:style w:type="character" w:customStyle="1" w:styleId="BulletListChar">
    <w:name w:val="Bullet List Char"/>
    <w:basedOn w:val="DefaultParagraphFont"/>
    <w:link w:val="BulletList"/>
    <w:rsid w:val="00E0702E"/>
    <w:rPr>
      <w:rFonts w:ascii="Franklin Gothic Book" w:eastAsia="Calibri" w:hAnsi="Franklin Gothic Book" w:cs="Franklin Gothic Book"/>
      <w:color w:val="000000"/>
      <w:sz w:val="20"/>
      <w:szCs w:val="20"/>
      <w:lang w:eastAsia="zh-CN"/>
    </w:rPr>
  </w:style>
  <w:style w:type="paragraph" w:customStyle="1" w:styleId="LegalP1">
    <w:name w:val="Legal P1"/>
    <w:qFormat/>
    <w:rsid w:val="004411A0"/>
    <w:pPr>
      <w:spacing w:after="20" w:line="240" w:lineRule="auto"/>
      <w:ind w:left="720" w:hanging="720"/>
      <w:jc w:val="both"/>
    </w:pPr>
    <w:rPr>
      <w:rFonts w:eastAsia="Calibri"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Jaremyn</dc:creator>
  <cp:keywords/>
  <dc:description/>
  <cp:lastModifiedBy>Ashleigh Jaremyn</cp:lastModifiedBy>
  <cp:revision>2</cp:revision>
  <dcterms:created xsi:type="dcterms:W3CDTF">2019-04-18T05:43:00Z</dcterms:created>
  <dcterms:modified xsi:type="dcterms:W3CDTF">2019-04-18T05:43:00Z</dcterms:modified>
</cp:coreProperties>
</file>