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3F4B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>Hi &lt;&lt;Client Name&gt;&gt;,</w:t>
      </w:r>
    </w:p>
    <w:p w14:paraId="4951185B" w14:textId="014AA2D5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 xml:space="preserve">From </w:t>
      </w:r>
      <w:r w:rsidRPr="00537516">
        <w:rPr>
          <w:rFonts w:ascii="Times New Roman" w:hAnsi="Times New Roman" w:cs="Times New Roman"/>
          <w:b/>
          <w:bCs/>
        </w:rPr>
        <w:t>1 July 2025</w:t>
      </w:r>
      <w:r w:rsidRPr="00537516">
        <w:rPr>
          <w:rFonts w:ascii="Times New Roman" w:hAnsi="Times New Roman" w:cs="Times New Roman"/>
        </w:rPr>
        <w:t xml:space="preserve">, the Federal Government will impose a </w:t>
      </w:r>
      <w:r w:rsidRPr="00537516">
        <w:rPr>
          <w:rFonts w:ascii="Times New Roman" w:hAnsi="Times New Roman" w:cs="Times New Roman"/>
          <w:i/>
          <w:iCs/>
        </w:rPr>
        <w:t>second</w:t>
      </w:r>
      <w:r w:rsidRPr="00537516">
        <w:rPr>
          <w:rFonts w:ascii="Times New Roman" w:hAnsi="Times New Roman" w:cs="Times New Roman"/>
        </w:rPr>
        <w:t xml:space="preserve"> layer of tax on SMSF members whose </w:t>
      </w:r>
      <w:r w:rsidRPr="00537516">
        <w:rPr>
          <w:rFonts w:ascii="Times New Roman" w:hAnsi="Times New Roman" w:cs="Times New Roman"/>
          <w:b/>
          <w:bCs/>
        </w:rPr>
        <w:t>Total Superannuation Balance (TSB) exceeds $3 million</w:t>
      </w:r>
      <w:r w:rsidRPr="00537516">
        <w:rPr>
          <w:rFonts w:ascii="Times New Roman" w:hAnsi="Times New Roman" w:cs="Times New Roman"/>
        </w:rPr>
        <w:t>.</w:t>
      </w:r>
      <w:r w:rsidRPr="00537516">
        <w:rPr>
          <w:rFonts w:ascii="Times New Roman" w:hAnsi="Times New Roman" w:cs="Times New Roman"/>
        </w:rPr>
        <w:br/>
        <w:t xml:space="preserve">The legislation (Division 296 ITAA 1997) is </w:t>
      </w:r>
      <w:r>
        <w:rPr>
          <w:rFonts w:ascii="Times New Roman" w:hAnsi="Times New Roman" w:cs="Times New Roman"/>
        </w:rPr>
        <w:t>soon to be</w:t>
      </w:r>
      <w:r w:rsidRPr="00537516">
        <w:rPr>
          <w:rFonts w:ascii="Times New Roman" w:hAnsi="Times New Roman" w:cs="Times New Roman"/>
        </w:rPr>
        <w:t xml:space="preserve"> law and the rules</w:t>
      </w:r>
      <w:r>
        <w:rPr>
          <w:rFonts w:ascii="Times New Roman" w:hAnsi="Times New Roman" w:cs="Times New Roman"/>
        </w:rPr>
        <w:t xml:space="preserve">, barring any </w:t>
      </w:r>
      <w:proofErr w:type="gramStart"/>
      <w:r>
        <w:rPr>
          <w:rFonts w:ascii="Times New Roman" w:hAnsi="Times New Roman" w:cs="Times New Roman"/>
        </w:rPr>
        <w:t>last minute</w:t>
      </w:r>
      <w:proofErr w:type="gramEnd"/>
      <w:r>
        <w:rPr>
          <w:rFonts w:ascii="Times New Roman" w:hAnsi="Times New Roman" w:cs="Times New Roman"/>
        </w:rPr>
        <w:t xml:space="preserve"> changes,</w:t>
      </w:r>
      <w:r w:rsidRPr="00537516">
        <w:rPr>
          <w:rFonts w:ascii="Times New Roman" w:hAnsi="Times New Roman" w:cs="Times New Roman"/>
        </w:rPr>
        <w:t xml:space="preserve"> are locked in.</w:t>
      </w:r>
    </w:p>
    <w:p w14:paraId="47203B6B" w14:textId="77777777" w:rsidR="00537516" w:rsidRPr="00537516" w:rsidRDefault="00537516" w:rsidP="00537516">
      <w:pPr>
        <w:rPr>
          <w:rFonts w:ascii="Times New Roman" w:hAnsi="Times New Roman" w:cs="Times New Roman"/>
          <w:b/>
          <w:bCs/>
        </w:rPr>
      </w:pPr>
      <w:r w:rsidRPr="00537516">
        <w:rPr>
          <w:rFonts w:ascii="Times New Roman" w:hAnsi="Times New Roman" w:cs="Times New Roman"/>
          <w:b/>
          <w:bCs/>
        </w:rPr>
        <w:t>What you need to know — in plain English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168"/>
      </w:tblGrid>
      <w:tr w:rsidR="00537516" w:rsidRPr="00537516" w14:paraId="63A335BB" w14:textId="77777777" w:rsidTr="0053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9441FA" w14:textId="77777777" w:rsidR="00537516" w:rsidRPr="00537516" w:rsidRDefault="00537516" w:rsidP="00537516">
            <w:pPr>
              <w:rPr>
                <w:rFonts w:ascii="Times New Roman" w:hAnsi="Times New Roman" w:cs="Times New Roman"/>
                <w:b/>
                <w:bCs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Issue</w:t>
            </w:r>
          </w:p>
        </w:tc>
        <w:tc>
          <w:tcPr>
            <w:tcW w:w="0" w:type="auto"/>
            <w:vAlign w:val="center"/>
            <w:hideMark/>
          </w:tcPr>
          <w:p w14:paraId="64B3DFF2" w14:textId="77777777" w:rsidR="00537516" w:rsidRPr="00537516" w:rsidRDefault="00537516" w:rsidP="00537516">
            <w:pPr>
              <w:rPr>
                <w:rFonts w:ascii="Times New Roman" w:hAnsi="Times New Roman" w:cs="Times New Roman"/>
                <w:b/>
                <w:bCs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What it means for you</w:t>
            </w:r>
          </w:p>
        </w:tc>
      </w:tr>
      <w:tr w:rsidR="00537516" w:rsidRPr="00537516" w14:paraId="607E6025" w14:textId="77777777" w:rsidTr="0053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13994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It’s a wealth tax</w:t>
            </w:r>
          </w:p>
        </w:tc>
        <w:tc>
          <w:tcPr>
            <w:tcW w:w="0" w:type="auto"/>
            <w:vAlign w:val="center"/>
            <w:hideMark/>
          </w:tcPr>
          <w:p w14:paraId="521A92CB" w14:textId="2A915AD0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</w:rPr>
              <w:t xml:space="preserve">15 % is charged </w:t>
            </w:r>
            <w:r w:rsidRPr="00537516">
              <w:rPr>
                <w:rFonts w:ascii="Times New Roman" w:hAnsi="Times New Roman" w:cs="Times New Roman"/>
                <w:i/>
                <w:iCs/>
              </w:rPr>
              <w:t>on the portion of annual earnings attributable to any balance above $3</w:t>
            </w:r>
            <w:r>
              <w:rPr>
                <w:rFonts w:ascii="Times New Roman" w:hAnsi="Times New Roman" w:cs="Times New Roman"/>
                <w:i/>
                <w:iCs/>
              </w:rPr>
              <w:t>M</w:t>
            </w:r>
            <w:r w:rsidRPr="00537516">
              <w:rPr>
                <w:rFonts w:ascii="Times New Roman" w:hAnsi="Times New Roman" w:cs="Times New Roman"/>
                <w:i/>
                <w:iCs/>
              </w:rPr>
              <w:t>—</w:t>
            </w:r>
            <w:r>
              <w:rPr>
                <w:rFonts w:ascii="Times New Roman" w:hAnsi="Times New Roman" w:cs="Times New Roman"/>
                <w:i/>
                <w:iCs/>
              </w:rPr>
              <w:t>which includes</w:t>
            </w:r>
            <w:r w:rsidRPr="005375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37516">
              <w:rPr>
                <w:rFonts w:ascii="Times New Roman" w:hAnsi="Times New Roman" w:cs="Times New Roman"/>
                <w:b/>
                <w:bCs/>
                <w:i/>
                <w:iCs/>
              </w:rPr>
              <w:t>unrealised gains</w:t>
            </w:r>
            <w:r w:rsidRPr="00537516">
              <w:rPr>
                <w:rFonts w:ascii="Times New Roman" w:hAnsi="Times New Roman" w:cs="Times New Roman"/>
              </w:rPr>
              <w:t xml:space="preserve">. Think of it as a superannuation </w:t>
            </w:r>
            <w:r>
              <w:rPr>
                <w:rFonts w:ascii="Times New Roman" w:hAnsi="Times New Roman" w:cs="Times New Roman"/>
              </w:rPr>
              <w:t>wealth</w:t>
            </w:r>
            <w:r w:rsidRPr="00537516">
              <w:rPr>
                <w:rFonts w:ascii="Times New Roman" w:hAnsi="Times New Roman" w:cs="Times New Roman"/>
              </w:rPr>
              <w:noBreakHyphen/>
              <w:t>tax that hits you every 30 June.</w:t>
            </w:r>
          </w:p>
        </w:tc>
      </w:tr>
      <w:tr w:rsidR="00537516" w:rsidRPr="00537516" w14:paraId="6055367D" w14:textId="77777777" w:rsidTr="0053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B4295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Ever</w:t>
            </w:r>
            <w:r w:rsidRPr="00537516">
              <w:rPr>
                <w:rFonts w:ascii="Times New Roman" w:hAnsi="Times New Roman" w:cs="Times New Roman"/>
                <w:b/>
                <w:bCs/>
              </w:rPr>
              <w:noBreakHyphen/>
              <w:t>shrinking thresholds</w:t>
            </w:r>
          </w:p>
        </w:tc>
        <w:tc>
          <w:tcPr>
            <w:tcW w:w="0" w:type="auto"/>
            <w:vAlign w:val="center"/>
            <w:hideMark/>
          </w:tcPr>
          <w:p w14:paraId="5B76317C" w14:textId="56D3E285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</w:rPr>
              <w:t xml:space="preserve">History shows new limits go </w:t>
            </w:r>
            <w:r w:rsidRPr="00537516">
              <w:rPr>
                <w:rFonts w:ascii="Times New Roman" w:hAnsi="Times New Roman" w:cs="Times New Roman"/>
                <w:i/>
                <w:iCs/>
              </w:rPr>
              <w:t>down</w:t>
            </w:r>
            <w:r w:rsidRPr="00537516">
              <w:rPr>
                <w:rFonts w:ascii="Times New Roman" w:hAnsi="Times New Roman" w:cs="Times New Roman"/>
              </w:rPr>
              <w:t>, not up (</w:t>
            </w:r>
            <w:proofErr w:type="spellStart"/>
            <w:r w:rsidRPr="00537516">
              <w:rPr>
                <w:rFonts w:ascii="Times New Roman" w:hAnsi="Times New Roman" w:cs="Times New Roman"/>
              </w:rPr>
              <w:t>eg</w:t>
            </w:r>
            <w:proofErr w:type="spellEnd"/>
            <w:r w:rsidRPr="00537516">
              <w:rPr>
                <w:rFonts w:ascii="Times New Roman" w:hAnsi="Times New Roman" w:cs="Times New Roman"/>
              </w:rPr>
              <w:t xml:space="preserve"> surcharge, Reasonable Benefit Limits, TBC index freeze). Today it is $3</w:t>
            </w:r>
            <w:r>
              <w:rPr>
                <w:rFonts w:ascii="Times New Roman" w:hAnsi="Times New Roman" w:cs="Times New Roman"/>
              </w:rPr>
              <w:t>M</w:t>
            </w:r>
            <w:r w:rsidRPr="00537516">
              <w:rPr>
                <w:rFonts w:ascii="Times New Roman" w:hAnsi="Times New Roman" w:cs="Times New Roman"/>
              </w:rPr>
              <w:t>; tomorrow it could be $2.5</w:t>
            </w:r>
            <w:r>
              <w:rPr>
                <w:rFonts w:ascii="Times New Roman" w:hAnsi="Times New Roman" w:cs="Times New Roman"/>
              </w:rPr>
              <w:t xml:space="preserve">M.  </w:t>
            </w:r>
            <w:proofErr w:type="gramStart"/>
            <w:r>
              <w:rPr>
                <w:rFonts w:ascii="Times New Roman" w:hAnsi="Times New Roman" w:cs="Times New Roman"/>
              </w:rPr>
              <w:t>Plus</w:t>
            </w:r>
            <w:proofErr w:type="gramEnd"/>
            <w:r>
              <w:rPr>
                <w:rFonts w:ascii="Times New Roman" w:hAnsi="Times New Roman" w:cs="Times New Roman"/>
              </w:rPr>
              <w:t xml:space="preserve"> it is not</w:t>
            </w:r>
            <w:r w:rsidRPr="00537516">
              <w:rPr>
                <w:rFonts w:ascii="Times New Roman" w:hAnsi="Times New Roman" w:cs="Times New Roman"/>
              </w:rPr>
              <w:t xml:space="preserve"> indexed to CPI capturing more </w:t>
            </w:r>
            <w:r>
              <w:rPr>
                <w:rFonts w:ascii="Times New Roman" w:hAnsi="Times New Roman" w:cs="Times New Roman"/>
              </w:rPr>
              <w:t>member balances</w:t>
            </w:r>
            <w:r w:rsidRPr="00537516">
              <w:rPr>
                <w:rFonts w:ascii="Times New Roman" w:hAnsi="Times New Roman" w:cs="Times New Roman"/>
              </w:rPr>
              <w:t xml:space="preserve"> every year.</w:t>
            </w:r>
          </w:p>
        </w:tc>
      </w:tr>
      <w:tr w:rsidR="00537516" w:rsidRPr="00537516" w14:paraId="6143306F" w14:textId="77777777" w:rsidTr="0053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84E73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Complex new valuations</w:t>
            </w:r>
          </w:p>
        </w:tc>
        <w:tc>
          <w:tcPr>
            <w:tcW w:w="0" w:type="auto"/>
            <w:vAlign w:val="center"/>
            <w:hideMark/>
          </w:tcPr>
          <w:p w14:paraId="7F8660F9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</w:rPr>
              <w:t xml:space="preserve">All SMSFs must lodge 30 June market values—properties, private companies, collectibles—using the ATO’s tougher evidence rules. Bad valuations = penalties </w:t>
            </w:r>
            <w:r w:rsidRPr="00537516">
              <w:rPr>
                <w:rFonts w:ascii="Times New Roman" w:hAnsi="Times New Roman" w:cs="Times New Roman"/>
                <w:i/>
                <w:iCs/>
              </w:rPr>
              <w:t>and</w:t>
            </w:r>
            <w:r w:rsidRPr="00537516">
              <w:rPr>
                <w:rFonts w:ascii="Times New Roman" w:hAnsi="Times New Roman" w:cs="Times New Roman"/>
              </w:rPr>
              <w:t xml:space="preserve"> an inflated tax bill.</w:t>
            </w:r>
          </w:p>
        </w:tc>
      </w:tr>
      <w:tr w:rsidR="00537516" w:rsidRPr="00537516" w14:paraId="37E7464B" w14:textId="77777777" w:rsidTr="0053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5F574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Cash</w:t>
            </w:r>
            <w:r w:rsidRPr="00537516">
              <w:rPr>
                <w:rFonts w:ascii="Times New Roman" w:hAnsi="Times New Roman" w:cs="Times New Roman"/>
                <w:b/>
                <w:bCs/>
              </w:rPr>
              <w:noBreakHyphen/>
              <w:t>flow drag</w:t>
            </w:r>
          </w:p>
        </w:tc>
        <w:tc>
          <w:tcPr>
            <w:tcW w:w="0" w:type="auto"/>
            <w:vAlign w:val="center"/>
            <w:hideMark/>
          </w:tcPr>
          <w:p w14:paraId="1EC648E5" w14:textId="330BB935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</w:rPr>
              <w:t xml:space="preserve">The ATO will issue a personal assessment (first bills expected late 2026). Trustees may have to release cash </w:t>
            </w:r>
            <w:proofErr w:type="gramStart"/>
            <w:r w:rsidRPr="00537516">
              <w:rPr>
                <w:rFonts w:ascii="Times New Roman" w:hAnsi="Times New Roman" w:cs="Times New Roman"/>
              </w:rPr>
              <w:t>quickly—selling</w:t>
            </w:r>
            <w:proofErr w:type="gramEnd"/>
            <w:r w:rsidRPr="00537516">
              <w:rPr>
                <w:rFonts w:ascii="Times New Roman" w:hAnsi="Times New Roman" w:cs="Times New Roman"/>
              </w:rPr>
              <w:t xml:space="preserve"> assets in a slow </w:t>
            </w:r>
            <w:proofErr w:type="gramStart"/>
            <w:r w:rsidRPr="00537516">
              <w:rPr>
                <w:rFonts w:ascii="Times New Roman" w:hAnsi="Times New Roman" w:cs="Times New Roman"/>
              </w:rPr>
              <w:t>market, or</w:t>
            </w:r>
            <w:proofErr w:type="gramEnd"/>
            <w:r w:rsidRPr="00537516">
              <w:rPr>
                <w:rFonts w:ascii="Times New Roman" w:hAnsi="Times New Roman" w:cs="Times New Roman"/>
              </w:rPr>
              <w:t xml:space="preserve"> paying personally after already drawing pensions.</w:t>
            </w:r>
            <w:r>
              <w:rPr>
                <w:rFonts w:ascii="Times New Roman" w:hAnsi="Times New Roman" w:cs="Times New Roman"/>
              </w:rPr>
              <w:t xml:space="preserve"> What happens if the superfund has only a large asset such as property which is hard to split.</w:t>
            </w:r>
          </w:p>
        </w:tc>
      </w:tr>
      <w:tr w:rsidR="00537516" w:rsidRPr="00537516" w14:paraId="457AD849" w14:textId="77777777" w:rsidTr="0053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08190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Ongoing record</w:t>
            </w:r>
            <w:r w:rsidRPr="00537516">
              <w:rPr>
                <w:rFonts w:ascii="Times New Roman" w:hAnsi="Times New Roman" w:cs="Times New Roman"/>
                <w:b/>
                <w:bCs/>
              </w:rPr>
              <w:noBreakHyphen/>
              <w:t>keeping</w:t>
            </w:r>
          </w:p>
        </w:tc>
        <w:tc>
          <w:tcPr>
            <w:tcW w:w="0" w:type="auto"/>
            <w:vAlign w:val="center"/>
            <w:hideMark/>
          </w:tcPr>
          <w:p w14:paraId="62F754BE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</w:rPr>
              <w:t>You must track contributions, withdrawals, family</w:t>
            </w:r>
            <w:r w:rsidRPr="00537516">
              <w:rPr>
                <w:rFonts w:ascii="Times New Roman" w:hAnsi="Times New Roman" w:cs="Times New Roman"/>
              </w:rPr>
              <w:noBreakHyphen/>
              <w:t>law splits, negative</w:t>
            </w:r>
            <w:r w:rsidRPr="00537516">
              <w:rPr>
                <w:rFonts w:ascii="Times New Roman" w:hAnsi="Times New Roman" w:cs="Times New Roman"/>
              </w:rPr>
              <w:noBreakHyphen/>
              <w:t>earnings carry</w:t>
            </w:r>
            <w:r w:rsidRPr="00537516">
              <w:rPr>
                <w:rFonts w:ascii="Times New Roman" w:hAnsi="Times New Roman" w:cs="Times New Roman"/>
              </w:rPr>
              <w:noBreakHyphen/>
              <w:t>forwards and—if you’re in a defined</w:t>
            </w:r>
            <w:r w:rsidRPr="00537516">
              <w:rPr>
                <w:rFonts w:ascii="Times New Roman" w:hAnsi="Times New Roman" w:cs="Times New Roman"/>
              </w:rPr>
              <w:noBreakHyphen/>
              <w:t>benefit scheme—actuarial notional contributions every year.</w:t>
            </w:r>
          </w:p>
        </w:tc>
      </w:tr>
      <w:tr w:rsidR="00537516" w:rsidRPr="00537516" w14:paraId="5C4109C5" w14:textId="77777777" w:rsidTr="0053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84B81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  <w:b/>
                <w:bCs/>
              </w:rPr>
              <w:t>ATO data</w:t>
            </w:r>
            <w:r w:rsidRPr="00537516">
              <w:rPr>
                <w:rFonts w:ascii="Times New Roman" w:hAnsi="Times New Roman" w:cs="Times New Roman"/>
                <w:b/>
                <w:bCs/>
              </w:rPr>
              <w:noBreakHyphen/>
              <w:t>matching</w:t>
            </w:r>
          </w:p>
        </w:tc>
        <w:tc>
          <w:tcPr>
            <w:tcW w:w="0" w:type="auto"/>
            <w:vAlign w:val="center"/>
            <w:hideMark/>
          </w:tcPr>
          <w:p w14:paraId="63054550" w14:textId="77777777" w:rsidR="00537516" w:rsidRPr="00537516" w:rsidRDefault="00537516" w:rsidP="00537516">
            <w:pPr>
              <w:rPr>
                <w:rFonts w:ascii="Times New Roman" w:hAnsi="Times New Roman" w:cs="Times New Roman"/>
              </w:rPr>
            </w:pPr>
            <w:r w:rsidRPr="00537516">
              <w:rPr>
                <w:rFonts w:ascii="Times New Roman" w:hAnsi="Times New Roman" w:cs="Times New Roman"/>
              </w:rPr>
              <w:t>Fund reporting errors or late SMSF returns will trigger default assessments and audit flags.</w:t>
            </w:r>
          </w:p>
        </w:tc>
      </w:tr>
    </w:tbl>
    <w:p w14:paraId="4620A022" w14:textId="77777777" w:rsidR="00537516" w:rsidRPr="00537516" w:rsidRDefault="00537516" w:rsidP="00537516">
      <w:pPr>
        <w:rPr>
          <w:rFonts w:ascii="Times New Roman" w:hAnsi="Times New Roman" w:cs="Times New Roman"/>
          <w:b/>
          <w:bCs/>
        </w:rPr>
      </w:pPr>
      <w:r w:rsidRPr="00537516">
        <w:rPr>
          <w:rFonts w:ascii="Times New Roman" w:hAnsi="Times New Roman" w:cs="Times New Roman"/>
          <w:b/>
          <w:bCs/>
        </w:rPr>
        <w:t>A quick (and very real) scenario</w:t>
      </w:r>
    </w:p>
    <w:p w14:paraId="6CAC22D2" w14:textId="2B4E2F59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Case study—</w:t>
      </w:r>
      <w:r>
        <w:rPr>
          <w:rFonts w:ascii="Times New Roman" w:hAnsi="Times New Roman" w:cs="Times New Roman"/>
          <w:b/>
          <w:bCs/>
        </w:rPr>
        <w:t xml:space="preserve"> </w:t>
      </w:r>
      <w:r w:rsidRPr="00537516">
        <w:rPr>
          <w:rFonts w:ascii="Times New Roman" w:hAnsi="Times New Roman" w:cs="Times New Roman"/>
          <w:b/>
          <w:bCs/>
        </w:rPr>
        <w:t xml:space="preserve">“John </w:t>
      </w:r>
      <w:r>
        <w:rPr>
          <w:rFonts w:ascii="Times New Roman" w:hAnsi="Times New Roman" w:cs="Times New Roman"/>
          <w:b/>
          <w:bCs/>
        </w:rPr>
        <w:t>Smith”</w:t>
      </w:r>
      <w:r w:rsidRPr="00537516">
        <w:rPr>
          <w:rFonts w:ascii="Times New Roman" w:hAnsi="Times New Roman" w:cs="Times New Roman"/>
        </w:rPr>
        <w:br/>
        <w:t xml:space="preserve">• Opening balance 1 July 2025: </w:t>
      </w:r>
      <w:r w:rsidRPr="00537516">
        <w:rPr>
          <w:rFonts w:ascii="Times New Roman" w:hAnsi="Times New Roman" w:cs="Times New Roman"/>
          <w:b/>
          <w:bCs/>
        </w:rPr>
        <w:t>$4</w:t>
      </w:r>
      <w:r>
        <w:rPr>
          <w:rFonts w:ascii="Times New Roman" w:hAnsi="Times New Roman" w:cs="Times New Roman"/>
          <w:b/>
          <w:bCs/>
        </w:rPr>
        <w:t>M</w:t>
      </w:r>
      <w:r w:rsidRPr="00537516">
        <w:rPr>
          <w:rFonts w:ascii="Times New Roman" w:hAnsi="Times New Roman" w:cs="Times New Roman"/>
        </w:rPr>
        <w:br/>
        <w:t xml:space="preserve">• Closing balance 30 June 2026: </w:t>
      </w:r>
      <w:r w:rsidRPr="00537516">
        <w:rPr>
          <w:rFonts w:ascii="Times New Roman" w:hAnsi="Times New Roman" w:cs="Times New Roman"/>
          <w:b/>
          <w:bCs/>
        </w:rPr>
        <w:t>$5</w:t>
      </w:r>
      <w:r>
        <w:rPr>
          <w:rFonts w:ascii="Times New Roman" w:hAnsi="Times New Roman" w:cs="Times New Roman"/>
          <w:b/>
          <w:bCs/>
        </w:rPr>
        <w:t>M</w:t>
      </w:r>
      <w:r w:rsidRPr="00537516">
        <w:rPr>
          <w:rFonts w:ascii="Times New Roman" w:hAnsi="Times New Roman" w:cs="Times New Roman"/>
        </w:rPr>
        <w:br/>
        <w:t xml:space="preserve">• Pension drawings </w:t>
      </w:r>
      <w:r>
        <w:rPr>
          <w:rFonts w:ascii="Times New Roman" w:hAnsi="Times New Roman" w:cs="Times New Roman"/>
        </w:rPr>
        <w:t>and</w:t>
      </w:r>
      <w:r w:rsidRPr="00537516">
        <w:rPr>
          <w:rFonts w:ascii="Times New Roman" w:hAnsi="Times New Roman" w:cs="Times New Roman"/>
        </w:rPr>
        <w:t xml:space="preserve"> lump</w:t>
      </w:r>
      <w:r w:rsidRPr="00537516">
        <w:rPr>
          <w:rFonts w:ascii="Times New Roman" w:hAnsi="Times New Roman" w:cs="Times New Roman"/>
        </w:rPr>
        <w:noBreakHyphen/>
        <w:t xml:space="preserve">sum withdrawals: </w:t>
      </w:r>
      <w:r w:rsidRPr="00537516">
        <w:rPr>
          <w:rFonts w:ascii="Times New Roman" w:hAnsi="Times New Roman" w:cs="Times New Roman"/>
          <w:b/>
          <w:bCs/>
        </w:rPr>
        <w:t>$350</w:t>
      </w:r>
      <w:r>
        <w:rPr>
          <w:rFonts w:ascii="Times New Roman" w:hAnsi="Times New Roman" w:cs="Times New Roman"/>
          <w:b/>
          <w:bCs/>
        </w:rPr>
        <w:t>,000</w:t>
      </w:r>
      <w:r w:rsidRPr="00537516">
        <w:rPr>
          <w:rFonts w:ascii="Times New Roman" w:hAnsi="Times New Roman" w:cs="Times New Roman"/>
        </w:rPr>
        <w:br/>
        <w:t xml:space="preserve">• Contributions: </w:t>
      </w:r>
      <w:r w:rsidRPr="00537516">
        <w:rPr>
          <w:rFonts w:ascii="Times New Roman" w:hAnsi="Times New Roman" w:cs="Times New Roman"/>
          <w:b/>
          <w:bCs/>
        </w:rPr>
        <w:t>$320</w:t>
      </w:r>
      <w:r>
        <w:rPr>
          <w:rFonts w:ascii="Times New Roman" w:hAnsi="Times New Roman" w:cs="Times New Roman"/>
          <w:b/>
          <w:bCs/>
        </w:rPr>
        <w:t>,000</w:t>
      </w:r>
    </w:p>
    <w:p w14:paraId="22C0D6C4" w14:textId="503B0B58" w:rsidR="00537516" w:rsidRPr="00537516" w:rsidRDefault="00537516" w:rsidP="00537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John’s personal d</w:t>
      </w:r>
      <w:r w:rsidRPr="00537516">
        <w:rPr>
          <w:rFonts w:ascii="Times New Roman" w:hAnsi="Times New Roman" w:cs="Times New Roman"/>
          <w:b/>
          <w:bCs/>
        </w:rPr>
        <w:t>ivision 296 tax for one year:</w:t>
      </w:r>
      <w:r w:rsidRPr="00537516">
        <w:rPr>
          <w:rFonts w:ascii="Times New Roman" w:hAnsi="Times New Roman" w:cs="Times New Roman"/>
        </w:rPr>
        <w:t xml:space="preserve"> </w:t>
      </w:r>
      <w:r w:rsidRPr="00537516">
        <w:rPr>
          <w:rFonts w:ascii="Times New Roman" w:hAnsi="Times New Roman" w:cs="Times New Roman"/>
          <w:b/>
          <w:bCs/>
        </w:rPr>
        <w:t>$61,800</w:t>
      </w:r>
      <w:r w:rsidRPr="00537516">
        <w:rPr>
          <w:rFonts w:ascii="Times New Roman" w:hAnsi="Times New Roman" w:cs="Times New Roman"/>
        </w:rPr>
        <w:t xml:space="preserve"> due 84 days after assessment.</w:t>
      </w:r>
    </w:p>
    <w:p w14:paraId="5AFBD613" w14:textId="721D4A3B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lastRenderedPageBreak/>
        <w:t xml:space="preserve">If markets rise 8 % p.a. and </w:t>
      </w:r>
      <w:r>
        <w:rPr>
          <w:rFonts w:ascii="Times New Roman" w:hAnsi="Times New Roman" w:cs="Times New Roman"/>
        </w:rPr>
        <w:t>the $3M</w:t>
      </w:r>
      <w:r w:rsidRPr="00537516">
        <w:rPr>
          <w:rFonts w:ascii="Times New Roman" w:hAnsi="Times New Roman" w:cs="Times New Roman"/>
        </w:rPr>
        <w:t xml:space="preserve"> stay frozen, John’s </w:t>
      </w:r>
      <w:r>
        <w:rPr>
          <w:rFonts w:ascii="Times New Roman" w:hAnsi="Times New Roman" w:cs="Times New Roman"/>
        </w:rPr>
        <w:t xml:space="preserve">aggregate </w:t>
      </w:r>
      <w:r w:rsidRPr="00537516">
        <w:rPr>
          <w:rFonts w:ascii="Times New Roman" w:hAnsi="Times New Roman" w:cs="Times New Roman"/>
        </w:rPr>
        <w:t xml:space="preserve">tax bill could exceed </w:t>
      </w:r>
      <w:r w:rsidRPr="00537516">
        <w:rPr>
          <w:rFonts w:ascii="Times New Roman" w:hAnsi="Times New Roman" w:cs="Times New Roman"/>
          <w:b/>
          <w:bCs/>
        </w:rPr>
        <w:t>$500</w:t>
      </w:r>
      <w:r>
        <w:rPr>
          <w:rFonts w:ascii="Times New Roman" w:hAnsi="Times New Roman" w:cs="Times New Roman"/>
          <w:b/>
          <w:bCs/>
        </w:rPr>
        <w:t>,00</w:t>
      </w:r>
      <w:r w:rsidRPr="00537516">
        <w:rPr>
          <w:rFonts w:ascii="Times New Roman" w:hAnsi="Times New Roman" w:cs="Times New Roman"/>
        </w:rPr>
        <w:t xml:space="preserve"> over the next decade—</w:t>
      </w:r>
      <w:r w:rsidRPr="00537516">
        <w:rPr>
          <w:rFonts w:ascii="Times New Roman" w:hAnsi="Times New Roman" w:cs="Times New Roman"/>
          <w:i/>
          <w:iCs/>
        </w:rPr>
        <w:t>all on money he hasn’t even withdrawn yet</w:t>
      </w:r>
      <w:r w:rsidRPr="005375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And here is the kicker, if the fund sells assets in the meantime – that is realises them, then capital gains tax will apply.</w:t>
      </w:r>
    </w:p>
    <w:p w14:paraId="0A506B93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>Could that be you in 2026?</w:t>
      </w:r>
    </w:p>
    <w:p w14:paraId="4A3BA39E" w14:textId="77777777" w:rsidR="00537516" w:rsidRPr="00537516" w:rsidRDefault="00537516" w:rsidP="00537516">
      <w:pPr>
        <w:rPr>
          <w:rFonts w:ascii="Times New Roman" w:hAnsi="Times New Roman" w:cs="Times New Roman"/>
          <w:b/>
          <w:bCs/>
        </w:rPr>
      </w:pPr>
      <w:r w:rsidRPr="00537516">
        <w:rPr>
          <w:rFonts w:ascii="Times New Roman" w:hAnsi="Times New Roman" w:cs="Times New Roman"/>
          <w:b/>
          <w:bCs/>
        </w:rPr>
        <w:t>Why you must act now—not next June</w:t>
      </w:r>
    </w:p>
    <w:p w14:paraId="6D00CD98" w14:textId="77777777" w:rsidR="00537516" w:rsidRPr="00537516" w:rsidRDefault="00537516" w:rsidP="005375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Year</w:t>
      </w:r>
      <w:r w:rsidRPr="00537516">
        <w:rPr>
          <w:rFonts w:ascii="Times New Roman" w:hAnsi="Times New Roman" w:cs="Times New Roman"/>
          <w:b/>
          <w:bCs/>
        </w:rPr>
        <w:noBreakHyphen/>
        <w:t>end balance planning</w:t>
      </w:r>
      <w:r w:rsidRPr="00537516">
        <w:rPr>
          <w:rFonts w:ascii="Times New Roman" w:hAnsi="Times New Roman" w:cs="Times New Roman"/>
        </w:rPr>
        <w:t>—strategic withdrawals, spouse equalisation and asset</w:t>
      </w:r>
      <w:r w:rsidRPr="00537516">
        <w:rPr>
          <w:rFonts w:ascii="Times New Roman" w:hAnsi="Times New Roman" w:cs="Times New Roman"/>
        </w:rPr>
        <w:noBreakHyphen/>
        <w:t xml:space="preserve">placement decisions </w:t>
      </w:r>
      <w:r w:rsidRPr="00537516">
        <w:rPr>
          <w:rFonts w:ascii="Times New Roman" w:hAnsi="Times New Roman" w:cs="Times New Roman"/>
          <w:i/>
          <w:iCs/>
        </w:rPr>
        <w:t>must be in place before</w:t>
      </w:r>
      <w:r w:rsidRPr="00537516">
        <w:rPr>
          <w:rFonts w:ascii="Times New Roman" w:hAnsi="Times New Roman" w:cs="Times New Roman"/>
        </w:rPr>
        <w:t xml:space="preserve"> 30 June 2025.</w:t>
      </w:r>
    </w:p>
    <w:p w14:paraId="52DC4152" w14:textId="77777777" w:rsidR="00537516" w:rsidRPr="00537516" w:rsidRDefault="00537516" w:rsidP="005375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Valuation evidence</w:t>
      </w:r>
      <w:r w:rsidRPr="00537516">
        <w:rPr>
          <w:rFonts w:ascii="Times New Roman" w:hAnsi="Times New Roman" w:cs="Times New Roman"/>
        </w:rPr>
        <w:t>—independent reports for property and unlisted assets need time.</w:t>
      </w:r>
    </w:p>
    <w:p w14:paraId="66C2BF6D" w14:textId="77777777" w:rsidR="00537516" w:rsidRDefault="00537516" w:rsidP="005375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Liquidity review</w:t>
      </w:r>
      <w:r w:rsidRPr="00537516">
        <w:rPr>
          <w:rFonts w:ascii="Times New Roman" w:hAnsi="Times New Roman" w:cs="Times New Roman"/>
        </w:rPr>
        <w:t>—ensure the fund (or you) can fund the tax without a fire</w:t>
      </w:r>
      <w:r w:rsidRPr="00537516">
        <w:rPr>
          <w:rFonts w:ascii="Times New Roman" w:hAnsi="Times New Roman" w:cs="Times New Roman"/>
        </w:rPr>
        <w:noBreakHyphen/>
        <w:t>sale.</w:t>
      </w:r>
    </w:p>
    <w:p w14:paraId="0D4C314D" w14:textId="0FC02B68" w:rsidR="00537516" w:rsidRPr="00537516" w:rsidRDefault="00537516" w:rsidP="0053751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Build bloodline structures now</w:t>
      </w:r>
      <w:r w:rsidRPr="005375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shield your family’s wealth from this egregious tax now.</w:t>
      </w:r>
    </w:p>
    <w:p w14:paraId="5836B43A" w14:textId="2D7EB5AB" w:rsidR="00537516" w:rsidRPr="00537516" w:rsidRDefault="00537516" w:rsidP="0053751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 xml:space="preserve">Documentation </w:t>
      </w:r>
      <w:r>
        <w:rPr>
          <w:rFonts w:ascii="Times New Roman" w:hAnsi="Times New Roman" w:cs="Times New Roman"/>
          <w:b/>
          <w:bCs/>
        </w:rPr>
        <w:t>and</w:t>
      </w:r>
      <w:r w:rsidRPr="00537516">
        <w:rPr>
          <w:rFonts w:ascii="Times New Roman" w:hAnsi="Times New Roman" w:cs="Times New Roman"/>
          <w:b/>
          <w:bCs/>
        </w:rPr>
        <w:t xml:space="preserve"> software upgrades</w:t>
      </w:r>
      <w:r w:rsidRPr="00537516">
        <w:rPr>
          <w:rFonts w:ascii="Times New Roman" w:hAnsi="Times New Roman" w:cs="Times New Roman"/>
        </w:rPr>
        <w:t>—new reporting fields for Division 296 start with the 2026 SMSF annual return</w:t>
      </w:r>
      <w:r>
        <w:rPr>
          <w:rFonts w:ascii="Times New Roman" w:hAnsi="Times New Roman" w:cs="Times New Roman"/>
        </w:rPr>
        <w:t xml:space="preserve"> and it is vital for all the strategies we bring to the table that you have the latest 2025 LY Legal SMSF deed.</w:t>
      </w:r>
    </w:p>
    <w:p w14:paraId="45AD0A09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pict w14:anchorId="5889DDC1">
          <v:rect id="_x0000_i1037" style="width:0;height:1.5pt" o:hralign="center" o:hrstd="t" o:hr="t" fillcolor="#a0a0a0" stroked="f"/>
        </w:pict>
      </w:r>
    </w:p>
    <w:p w14:paraId="1A66C381" w14:textId="77777777" w:rsidR="00537516" w:rsidRPr="00537516" w:rsidRDefault="00537516" w:rsidP="00537516">
      <w:pPr>
        <w:rPr>
          <w:rFonts w:ascii="Times New Roman" w:hAnsi="Times New Roman" w:cs="Times New Roman"/>
          <w:b/>
          <w:bCs/>
        </w:rPr>
      </w:pPr>
      <w:r w:rsidRPr="00537516">
        <w:rPr>
          <w:rFonts w:ascii="Times New Roman" w:hAnsi="Times New Roman" w:cs="Times New Roman"/>
          <w:b/>
          <w:bCs/>
        </w:rPr>
        <w:t>Next step: book your 45</w:t>
      </w:r>
      <w:r w:rsidRPr="00537516">
        <w:rPr>
          <w:rFonts w:ascii="Times New Roman" w:hAnsi="Times New Roman" w:cs="Times New Roman"/>
          <w:b/>
          <w:bCs/>
        </w:rPr>
        <w:noBreakHyphen/>
        <w:t>minute “Division 296 Readiness” session</w:t>
      </w:r>
    </w:p>
    <w:p w14:paraId="7366E33C" w14:textId="3C1F025F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Call &lt;&lt;Practice Phone&gt;&gt; or click &lt;&lt;Booking Link&gt;&gt;</w:t>
      </w:r>
      <w:r w:rsidRPr="00537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now</w:t>
      </w:r>
      <w:r w:rsidRPr="00537516">
        <w:rPr>
          <w:rFonts w:ascii="Times New Roman" w:hAnsi="Times New Roman" w:cs="Times New Roman"/>
        </w:rPr>
        <w:t xml:space="preserve"> to lock in a priority planning slot.</w:t>
      </w:r>
      <w:r w:rsidRPr="00537516">
        <w:rPr>
          <w:rFonts w:ascii="Times New Roman" w:hAnsi="Times New Roman" w:cs="Times New Roman"/>
        </w:rPr>
        <w:br/>
        <w:t>We will:</w:t>
      </w:r>
    </w:p>
    <w:p w14:paraId="4D28578D" w14:textId="77777777" w:rsidR="00537516" w:rsidRPr="00537516" w:rsidRDefault="00537516" w:rsidP="005375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>Forecast your potential Division 296 liability for the next five years.</w:t>
      </w:r>
    </w:p>
    <w:p w14:paraId="1FB3A5A6" w14:textId="77777777" w:rsidR="00537516" w:rsidRPr="00537516" w:rsidRDefault="00537516" w:rsidP="005375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>Stress</w:t>
      </w:r>
      <w:r w:rsidRPr="00537516">
        <w:rPr>
          <w:rFonts w:ascii="Times New Roman" w:hAnsi="Times New Roman" w:cs="Times New Roman"/>
        </w:rPr>
        <w:noBreakHyphen/>
        <w:t>test your SMSF’s cash flow and valuation processes.</w:t>
      </w:r>
    </w:p>
    <w:p w14:paraId="49E69A96" w14:textId="77777777" w:rsidR="00537516" w:rsidRPr="00537516" w:rsidRDefault="00537516" w:rsidP="0053751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>Design a strategy to keep more wealth in your family—inside or outside super.</w:t>
      </w:r>
    </w:p>
    <w:p w14:paraId="2EC538B2" w14:textId="0D75D5DA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Important:</w:t>
      </w:r>
      <w:r w:rsidRPr="00537516">
        <w:rPr>
          <w:rFonts w:ascii="Times New Roman" w:hAnsi="Times New Roman" w:cs="Times New Roman"/>
        </w:rPr>
        <w:t xml:space="preserve"> Delaying could cost you tens of thousands in unnecessary tax—and put your fund under ATO scrutiny.</w:t>
      </w:r>
    </w:p>
    <w:p w14:paraId="5F1CD416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 xml:space="preserve">Let’s make sure the new rules work </w:t>
      </w:r>
      <w:r w:rsidRPr="00537516">
        <w:rPr>
          <w:rFonts w:ascii="Times New Roman" w:hAnsi="Times New Roman" w:cs="Times New Roman"/>
          <w:i/>
          <w:iCs/>
        </w:rPr>
        <w:t>for</w:t>
      </w:r>
      <w:r w:rsidRPr="00537516">
        <w:rPr>
          <w:rFonts w:ascii="Times New Roman" w:hAnsi="Times New Roman" w:cs="Times New Roman"/>
        </w:rPr>
        <w:t xml:space="preserve"> you, not against you.</w:t>
      </w:r>
    </w:p>
    <w:p w14:paraId="70013E82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t>Kind regards,</w:t>
      </w:r>
    </w:p>
    <w:p w14:paraId="7AC7FE5B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b/>
          <w:bCs/>
        </w:rPr>
        <w:t>&lt;&lt;Adviser Name&gt;&gt;</w:t>
      </w:r>
      <w:r w:rsidRPr="00537516">
        <w:rPr>
          <w:rFonts w:ascii="Times New Roman" w:hAnsi="Times New Roman" w:cs="Times New Roman"/>
          <w:b/>
          <w:bCs/>
        </w:rPr>
        <w:br/>
        <w:t>&lt;&lt;Practice Name&gt;&gt; | SMSF &amp; Wealth Advisory</w:t>
      </w:r>
    </w:p>
    <w:p w14:paraId="6575D015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</w:rPr>
        <w:pict w14:anchorId="3C0D0AE8">
          <v:rect id="_x0000_i1038" style="width:0;height:1.5pt" o:hralign="center" o:hrstd="t" o:hr="t" fillcolor="#a0a0a0" stroked="f"/>
        </w:pict>
      </w:r>
    </w:p>
    <w:p w14:paraId="73BCAC8A" w14:textId="77777777" w:rsidR="00537516" w:rsidRPr="00537516" w:rsidRDefault="00537516" w:rsidP="00537516">
      <w:pPr>
        <w:rPr>
          <w:rFonts w:ascii="Times New Roman" w:hAnsi="Times New Roman" w:cs="Times New Roman"/>
        </w:rPr>
      </w:pPr>
      <w:r w:rsidRPr="00537516">
        <w:rPr>
          <w:rFonts w:ascii="Times New Roman" w:hAnsi="Times New Roman" w:cs="Times New Roman"/>
          <w:i/>
          <w:iCs/>
        </w:rPr>
        <w:t>This email contains general information only and is not personal financial advice. Please confirm all figures with your tax adviser before acting.</w:t>
      </w:r>
    </w:p>
    <w:p w14:paraId="09D2E7D1" w14:textId="77777777" w:rsidR="0063330D" w:rsidRPr="00537516" w:rsidRDefault="0063330D">
      <w:pPr>
        <w:rPr>
          <w:rFonts w:ascii="Times New Roman" w:hAnsi="Times New Roman" w:cs="Times New Roman"/>
        </w:rPr>
      </w:pPr>
    </w:p>
    <w:sectPr w:rsidR="0063330D" w:rsidRPr="00537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3D5"/>
    <w:multiLevelType w:val="multilevel"/>
    <w:tmpl w:val="F9DE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B00D7"/>
    <w:multiLevelType w:val="multilevel"/>
    <w:tmpl w:val="F14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52855">
    <w:abstractNumId w:val="0"/>
  </w:num>
  <w:num w:numId="2" w16cid:durableId="62986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16"/>
    <w:rsid w:val="002A5A46"/>
    <w:rsid w:val="002C4A3A"/>
    <w:rsid w:val="00537516"/>
    <w:rsid w:val="005F6E4E"/>
    <w:rsid w:val="0063330D"/>
    <w:rsid w:val="0074749B"/>
    <w:rsid w:val="007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D8AD"/>
  <w15:chartTrackingRefBased/>
  <w15:docId w15:val="{BEF99C3F-F6E2-405D-8FF2-2A964AA0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51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51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51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375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375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3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grantley abbott</dc:creator>
  <cp:keywords/>
  <dc:description/>
  <cp:lastModifiedBy>grantley abbott</cp:lastModifiedBy>
  <cp:revision>1</cp:revision>
  <dcterms:created xsi:type="dcterms:W3CDTF">2025-05-22T22:28:00Z</dcterms:created>
  <dcterms:modified xsi:type="dcterms:W3CDTF">2025-05-22T22:38:00Z</dcterms:modified>
</cp:coreProperties>
</file>